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eastAsia="黑体"/>
          <w:bCs/>
          <w:szCs w:val="21"/>
        </w:rPr>
      </w:pPr>
      <w:r>
        <w:rPr>
          <w:rFonts w:hint="eastAsia" w:ascii="黑体" w:eastAsia="黑体"/>
          <w:bCs/>
          <w:szCs w:val="21"/>
        </w:rPr>
        <w:t>ICS XXXXXXX</w:t>
      </w:r>
    </w:p>
    <w:p>
      <w:pPr>
        <w:rPr>
          <w:rFonts w:hint="eastAsia" w:ascii="黑体" w:eastAsia="黑体"/>
          <w:bCs/>
          <w:szCs w:val="21"/>
        </w:rPr>
      </w:pPr>
      <w:r>
        <w:rPr>
          <w:rFonts w:hint="eastAsia" w:ascii="黑体" w:eastAsia="黑体"/>
          <w:bCs/>
          <w:szCs w:val="21"/>
        </w:rPr>
        <w:t>X XX</w:t>
      </w:r>
    </w:p>
    <w:p>
      <w:pPr>
        <w:rPr>
          <w:rFonts w:hint="eastAsia" w:ascii="黑体" w:eastAsia="黑体"/>
          <w:bCs/>
          <w:szCs w:val="21"/>
        </w:rPr>
      </w:pPr>
      <w:r>
        <w:rPr>
          <w:rFonts w:hint="eastAsia" w:ascii="黑体" w:eastAsia="黑体"/>
          <w:bCs/>
          <w:szCs w:val="21"/>
        </w:rPr>
        <w:t>备案号：XXXX-XXXX</w:t>
      </w:r>
    </w:p>
    <w:p>
      <w:pPr>
        <w:ind w:right="358"/>
        <w:jc w:val="right"/>
        <w:rPr>
          <w:rFonts w:eastAsia="黑体"/>
          <w:b/>
          <w:sz w:val="96"/>
          <w:szCs w:val="96"/>
        </w:rPr>
      </w:pPr>
      <w:r>
        <w:rPr>
          <w:rFonts w:eastAsia="黑体"/>
          <w:b/>
          <w:sz w:val="96"/>
          <w:szCs w:val="96"/>
        </w:rPr>
        <w:t>DB13</w:t>
      </w:r>
    </w:p>
    <w:p>
      <w:pPr>
        <w:jc w:val="center"/>
        <w:rPr>
          <w:rFonts w:hint="eastAsia" w:ascii="黑体" w:eastAsia="黑体"/>
          <w:sz w:val="48"/>
          <w:szCs w:val="48"/>
        </w:rPr>
      </w:pPr>
      <w:r>
        <w:rPr>
          <w:rFonts w:hint="eastAsia" w:ascii="黑体" w:eastAsia="黑体"/>
          <w:sz w:val="48"/>
          <w:szCs w:val="48"/>
        </w:rPr>
        <w:t>河    北    省    地    方    标    准</w:t>
      </w:r>
    </w:p>
    <w:p>
      <w:pPr>
        <w:spacing w:before="156" w:beforeLines="50"/>
        <w:jc w:val="center"/>
        <w:rPr>
          <w:rFonts w:hint="default" w:ascii="黑体" w:eastAsia="黑体"/>
          <w:b/>
          <w:bCs/>
          <w:sz w:val="28"/>
          <w:szCs w:val="28"/>
          <w:lang w:val="en-US" w:eastAsia="zh-CN"/>
        </w:rPr>
      </w:pPr>
      <w:r>
        <w:rPr>
          <w:rFonts w:hint="eastAsia" w:ascii="黑体" w:eastAsia="黑体"/>
          <w:b/>
          <w:bCs/>
          <w:sz w:val="28"/>
          <w:szCs w:val="28"/>
        </w:rPr>
        <w:t xml:space="preserve">                                               </w:t>
      </w:r>
      <w:r>
        <w:rPr>
          <w:rFonts w:hint="eastAsia" w:ascii="黑体" w:eastAsia="黑体"/>
          <w:bCs/>
          <w:sz w:val="28"/>
          <w:szCs w:val="28"/>
        </w:rPr>
        <w:t>DB 13/T XX-20</w:t>
      </w:r>
      <w:r>
        <w:rPr>
          <w:rFonts w:hint="eastAsia" w:ascii="黑体" w:eastAsia="黑体"/>
          <w:bCs/>
          <w:sz w:val="28"/>
          <w:szCs w:val="28"/>
          <w:lang w:val="en-US" w:eastAsia="zh-CN"/>
        </w:rPr>
        <w:t>21</w:t>
      </w:r>
    </w:p>
    <w:p>
      <w:pPr>
        <w:rPr>
          <w:rFonts w:hint="eastAsia" w:ascii="仿宋_GB2312" w:eastAsia="仿宋_GB2312"/>
          <w:b/>
          <w:bCs/>
        </w:rPr>
      </w:pPr>
      <w:r>
        <w:rPr>
          <w:rFonts w:ascii="仿宋_GB2312" w:eastAsia="仿宋_GB2312"/>
          <w:b/>
          <w:bCs/>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190500</wp:posOffset>
                </wp:positionV>
                <wp:extent cx="5943600" cy="0"/>
                <wp:effectExtent l="0" t="9525" r="0" b="9525"/>
                <wp:wrapNone/>
                <wp:docPr id="1" name="直线 10"/>
                <wp:cNvGraphicFramePr/>
                <a:graphic xmlns:a="http://schemas.openxmlformats.org/drawingml/2006/main">
                  <a:graphicData uri="http://schemas.microsoft.com/office/word/2010/wordprocessingShape">
                    <wps:wsp>
                      <wps:cNvCnPr/>
                      <wps:spPr>
                        <a:xfrm>
                          <a:off x="0" y="0"/>
                          <a:ext cx="59436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margin-left:0pt;margin-top:15pt;height:0pt;width:468pt;z-index:251659264;mso-width-relative:page;mso-height-relative:page;" filled="f" stroked="t" coordsize="21600,21600" o:gfxdata="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dwKwU0wAAAAYB&#10;AAAPAAAAAAAAAAEAIAAAACIAAABkcnMvZG93bnJldi54bWxQSwECFAAUAAAACACHTuJA4RY/GOcB&#10;AADdAwAADgAAAAAAAAABACAAAAAiAQAAZHJzL2Uyb0RvYy54bWxQSwUGAAAAAAYABgBZAQAAewUA&#10;AAAA&#10;">
                <v:fill on="f" focussize="0,0"/>
                <v:stroke weight="1.5pt" color="#000000" joinstyle="round"/>
                <v:imagedata o:title=""/>
                <o:lock v:ext="edit" aspectratio="f"/>
              </v:line>
            </w:pict>
          </mc:Fallback>
        </mc:AlternateContent>
      </w:r>
    </w:p>
    <w:p>
      <w:pPr>
        <w:rPr>
          <w:rFonts w:hint="eastAsia"/>
          <w:b/>
          <w:sz w:val="32"/>
          <w:szCs w:val="32"/>
        </w:rPr>
      </w:pPr>
    </w:p>
    <w:p>
      <w:pPr>
        <w:rPr>
          <w:rFonts w:hint="eastAsia"/>
          <w:b/>
          <w:sz w:val="32"/>
          <w:szCs w:val="32"/>
        </w:rPr>
      </w:pPr>
    </w:p>
    <w:p>
      <w:pPr>
        <w:jc w:val="center"/>
        <w:rPr>
          <w:rFonts w:hint="eastAsia" w:ascii="黑体" w:hAnsi="黑体" w:eastAsia="黑体"/>
          <w:sz w:val="52"/>
          <w:szCs w:val="52"/>
        </w:rPr>
      </w:pPr>
      <w:r>
        <w:rPr>
          <w:rFonts w:hint="eastAsia" w:ascii="黑体" w:hAnsi="黑体" w:eastAsia="黑体"/>
          <w:sz w:val="52"/>
          <w:szCs w:val="52"/>
        </w:rPr>
        <w:t>金属非金属地下矿山人员精准定位系统</w:t>
      </w:r>
    </w:p>
    <w:p>
      <w:pPr>
        <w:jc w:val="center"/>
        <w:rPr>
          <w:rFonts w:hint="eastAsia" w:ascii="黑体" w:hAnsi="黑体" w:eastAsia="黑体"/>
          <w:sz w:val="28"/>
          <w:szCs w:val="28"/>
        </w:rPr>
      </w:pPr>
      <w:r>
        <w:rPr>
          <w:rFonts w:hint="eastAsia" w:ascii="黑体" w:hAnsi="黑体" w:eastAsia="黑体"/>
          <w:sz w:val="52"/>
          <w:szCs w:val="52"/>
        </w:rPr>
        <w:t>建设规范</w:t>
      </w:r>
    </w:p>
    <w:p>
      <w:pPr>
        <w:jc w:val="center"/>
        <w:rPr>
          <w:rFonts w:hint="eastAsia"/>
          <w:sz w:val="28"/>
          <w:szCs w:val="28"/>
        </w:rPr>
      </w:pPr>
      <w:r>
        <w:rPr>
          <w:rFonts w:hint="eastAsia"/>
          <w:sz w:val="28"/>
          <w:szCs w:val="28"/>
        </w:rPr>
        <w:t>（</w:t>
      </w:r>
      <w:r>
        <w:rPr>
          <w:rFonts w:hint="eastAsia"/>
          <w:sz w:val="28"/>
          <w:szCs w:val="28"/>
          <w:lang w:val="en-US" w:eastAsia="zh-CN"/>
        </w:rPr>
        <w:t>网上征求意见</w:t>
      </w:r>
      <w:r>
        <w:rPr>
          <w:rFonts w:hint="eastAsia"/>
          <w:sz w:val="28"/>
          <w:szCs w:val="28"/>
        </w:rPr>
        <w:t>稿）</w:t>
      </w:r>
    </w:p>
    <w:p>
      <w:pPr>
        <w:jc w:val="center"/>
        <w:rPr>
          <w:rFonts w:hint="eastAsia" w:ascii="黑体" w:hAnsi="黑体" w:eastAsia="黑体"/>
          <w:sz w:val="28"/>
          <w:szCs w:val="28"/>
        </w:rPr>
      </w:pPr>
    </w:p>
    <w:p>
      <w:pPr>
        <w:rPr>
          <w:rFonts w:hint="eastAsia"/>
          <w:b/>
          <w:sz w:val="32"/>
          <w:szCs w:val="32"/>
        </w:rPr>
      </w:pPr>
      <w:bookmarkStart w:id="18" w:name="_GoBack"/>
      <w:bookmarkEnd w:id="18"/>
    </w:p>
    <w:p>
      <w:pPr>
        <w:rPr>
          <w:rFonts w:hint="eastAsia"/>
          <w:b/>
          <w:sz w:val="32"/>
          <w:szCs w:val="32"/>
        </w:rPr>
      </w:pPr>
    </w:p>
    <w:p>
      <w:pPr>
        <w:rPr>
          <w:rFonts w:hint="eastAsia"/>
          <w:b/>
          <w:sz w:val="32"/>
          <w:szCs w:val="32"/>
        </w:rPr>
      </w:pPr>
    </w:p>
    <w:p>
      <w:pPr>
        <w:rPr>
          <w:rFonts w:hint="eastAsia"/>
          <w:b/>
          <w:sz w:val="32"/>
          <w:szCs w:val="32"/>
        </w:rPr>
      </w:pPr>
    </w:p>
    <w:p>
      <w:pPr>
        <w:rPr>
          <w:rFonts w:hint="eastAsia"/>
          <w:b/>
          <w:sz w:val="32"/>
          <w:szCs w:val="32"/>
        </w:rPr>
      </w:pPr>
    </w:p>
    <w:p>
      <w:pPr>
        <w:rPr>
          <w:b/>
          <w:sz w:val="32"/>
          <w:szCs w:val="32"/>
        </w:rPr>
      </w:pPr>
    </w:p>
    <w:p>
      <w:pPr>
        <w:rPr>
          <w:b/>
          <w:sz w:val="32"/>
          <w:szCs w:val="32"/>
        </w:rPr>
      </w:pPr>
    </w:p>
    <w:p>
      <w:pPr>
        <w:rPr>
          <w:b/>
          <w:sz w:val="32"/>
          <w:szCs w:val="32"/>
        </w:rPr>
      </w:pPr>
    </w:p>
    <w:p>
      <w:pPr>
        <w:rPr>
          <w:rFonts w:hint="eastAsia" w:ascii="黑体" w:hAnsi="黑体" w:eastAsia="黑体"/>
          <w:bCs/>
        </w:rPr>
      </w:pPr>
      <w:r>
        <w:rPr>
          <w:rFonts w:ascii="宋体" w:hAnsi="宋体"/>
          <w:bCs/>
          <w:sz w:val="20"/>
        </w:rPr>
        <mc:AlternateContent>
          <mc:Choice Requires="wps">
            <w:drawing>
              <wp:anchor distT="0" distB="0" distL="114300" distR="114300" simplePos="0" relativeHeight="251660288" behindDoc="0" locked="0" layoutInCell="1" allowOverlap="1">
                <wp:simplePos x="0" y="0"/>
                <wp:positionH relativeFrom="column">
                  <wp:posOffset>-17780</wp:posOffset>
                </wp:positionH>
                <wp:positionV relativeFrom="paragraph">
                  <wp:posOffset>299085</wp:posOffset>
                </wp:positionV>
                <wp:extent cx="5943600" cy="0"/>
                <wp:effectExtent l="0" t="9525" r="0" b="9525"/>
                <wp:wrapNone/>
                <wp:docPr id="2" name="直线 11"/>
                <wp:cNvGraphicFramePr/>
                <a:graphic xmlns:a="http://schemas.openxmlformats.org/drawingml/2006/main">
                  <a:graphicData uri="http://schemas.microsoft.com/office/word/2010/wordprocessingShape">
                    <wps:wsp>
                      <wps:cNvCnPr/>
                      <wps:spPr>
                        <a:xfrm>
                          <a:off x="0" y="0"/>
                          <a:ext cx="59436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margin-left:-1.4pt;margin-top:23.55pt;height:0pt;width:468pt;z-index:251660288;mso-width-relative:page;mso-height-relative:page;" filled="f" stroked="t" coordsize="21600,21600" o:gfxdata="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dOtSC1QAA&#10;AAgBAAAPAAAAAAAAAAEAIAAAACIAAABkcnMvZG93bnJldi54bWxQSwECFAAUAAAACACHTuJAwucR&#10;1+gBAADdAwAADgAAAAAAAAABACAAAAAkAQAAZHJzL2Uyb0RvYy54bWxQSwUGAAAAAAYABgBZAQAA&#10;fgUAAAAA&#10;">
                <v:fill on="f" focussize="0,0"/>
                <v:stroke weight="1.5pt" color="#000000" joinstyle="round"/>
                <v:imagedata o:title=""/>
                <o:lock v:ext="edit" aspectratio="f"/>
              </v:line>
            </w:pict>
          </mc:Fallback>
        </mc:AlternateContent>
      </w:r>
      <w:r>
        <w:rPr>
          <w:rFonts w:hint="eastAsia" w:ascii="黑体" w:hAnsi="黑体" w:eastAsia="黑体"/>
          <w:bCs/>
          <w:sz w:val="28"/>
        </w:rPr>
        <w:t>XXXX-XX-XX发布                                     XXXX-XX-XX实施</w:t>
      </w:r>
    </w:p>
    <w:p>
      <w:pPr>
        <w:jc w:val="center"/>
        <w:rPr>
          <w:rFonts w:hint="eastAsia" w:ascii="宋体" w:hAnsi="宋体"/>
          <w:sz w:val="32"/>
          <w:szCs w:val="32"/>
        </w:rPr>
      </w:pPr>
    </w:p>
    <w:p>
      <w:pPr>
        <w:jc w:val="center"/>
        <w:rPr>
          <w:rFonts w:ascii="黑体" w:hAnsi="黑体" w:eastAsia="黑体"/>
          <w:sz w:val="28"/>
          <w:szCs w:val="28"/>
        </w:rPr>
        <w:sectPr>
          <w:headerReference r:id="rId3" w:type="default"/>
          <w:footerReference r:id="rId5" w:type="default"/>
          <w:headerReference r:id="rId4" w:type="even"/>
          <w:footerReference r:id="rId6" w:type="even"/>
          <w:pgSz w:w="11907" w:h="16840"/>
          <w:pgMar w:top="567" w:right="850" w:bottom="1134" w:left="1418" w:header="1418" w:footer="907" w:gutter="0"/>
          <w:cols w:space="720" w:num="1"/>
          <w:titlePg/>
          <w:docGrid w:type="linesAndChars" w:linePitch="312" w:charSpace="0"/>
        </w:sectPr>
      </w:pPr>
      <w:r>
        <w:rPr>
          <w:rFonts w:hint="eastAsia" w:ascii="宋体" w:hAnsi="宋体"/>
          <w:sz w:val="32"/>
          <w:szCs w:val="32"/>
        </w:rPr>
        <w:t>河北省</w:t>
      </w:r>
      <w:r>
        <w:rPr>
          <w:rFonts w:hint="eastAsia" w:ascii="宋体" w:hAnsi="宋体"/>
          <w:sz w:val="32"/>
          <w:szCs w:val="32"/>
          <w:lang w:val="en-US" w:eastAsia="zh-CN"/>
        </w:rPr>
        <w:t>市场监督管理</w:t>
      </w:r>
      <w:r>
        <w:rPr>
          <w:rFonts w:hint="eastAsia" w:ascii="宋体" w:hAnsi="宋体" w:eastAsia="宋体" w:cs="Times New Roman"/>
          <w:spacing w:val="566"/>
          <w:sz w:val="32"/>
          <w:szCs w:val="32"/>
          <w:lang w:val="en-US" w:eastAsia="zh-CN"/>
        </w:rPr>
        <w:t>局</w:t>
      </w:r>
      <w:r>
        <w:rPr>
          <w:rFonts w:hint="eastAsia" w:ascii="黑体" w:hAnsi="黑体" w:eastAsia="黑体"/>
          <w:spacing w:val="170"/>
          <w:sz w:val="28"/>
          <w:szCs w:val="28"/>
        </w:rPr>
        <w:t>发布</w:t>
      </w:r>
    </w:p>
    <w:p>
      <w:pPr>
        <w:pStyle w:val="10"/>
        <w:keepNext w:val="0"/>
        <w:keepLines w:val="0"/>
        <w:pageBreakBefore/>
        <w:widowControl w:val="0"/>
        <w:kinsoku/>
        <w:wordWrap/>
        <w:overflowPunct/>
        <w:topLinePunct w:val="0"/>
        <w:autoSpaceDE/>
        <w:autoSpaceDN/>
        <w:bidi w:val="0"/>
        <w:adjustRightInd/>
        <w:snapToGrid/>
        <w:spacing w:before="850"/>
        <w:ind w:left="0" w:leftChars="0" w:firstLine="0" w:firstLineChars="0"/>
        <w:jc w:val="both"/>
        <w:textAlignment w:val="auto"/>
        <w:rPr>
          <w:rFonts w:hint="eastAsia" w:ascii="黑体" w:hAnsi="黑体" w:eastAsia="黑体" w:cs="黑体"/>
          <w:sz w:val="32"/>
          <w:szCs w:val="32"/>
          <w:lang w:val="en-US" w:eastAsia="zh-CN"/>
        </w:rPr>
        <w:sectPr>
          <w:headerReference r:id="rId7" w:type="default"/>
          <w:footerReference r:id="rId9" w:type="default"/>
          <w:headerReference r:id="rId8" w:type="even"/>
          <w:footerReference r:id="rId10" w:type="even"/>
          <w:pgSz w:w="11907" w:h="16840"/>
          <w:pgMar w:top="1361" w:right="1247" w:bottom="1134" w:left="1247" w:header="1418" w:footer="907" w:gutter="0"/>
          <w:pgNumType w:fmt="upperRoman" w:start="2"/>
          <w:cols w:space="720" w:num="1"/>
          <w:docGrid w:type="linesAndChars" w:linePitch="312" w:charSpace="0"/>
        </w:sectPr>
      </w:pPr>
    </w:p>
    <w:p>
      <w:pPr>
        <w:pStyle w:val="14"/>
        <w:keepNext w:val="0"/>
        <w:keepLines w:val="0"/>
        <w:pageBreakBefore/>
        <w:widowControl w:val="0"/>
        <w:tabs>
          <w:tab w:val="right" w:leader="dot" w:pos="9413"/>
          <w:tab w:val="clear" w:pos="9402"/>
        </w:tabs>
        <w:kinsoku/>
        <w:wordWrap/>
        <w:overflowPunct/>
        <w:topLinePunct w:val="0"/>
        <w:autoSpaceDE/>
        <w:autoSpaceDN/>
        <w:bidi w:val="0"/>
        <w:adjustRightInd/>
        <w:snapToGrid/>
        <w:spacing w:before="850" w:after="680"/>
        <w:jc w:val="center"/>
        <w:textAlignment w:val="auto"/>
        <w:outlineLvl w:val="9"/>
        <w:rPr>
          <w:rFonts w:hint="eastAsia" w:ascii="黑体" w:hAnsi="黑体" w:eastAsia="黑体" w:cs="黑体"/>
          <w:sz w:val="32"/>
          <w:szCs w:val="32"/>
          <w:lang w:val="en-US" w:eastAsia="zh-CN"/>
        </w:rPr>
      </w:pPr>
      <w:bookmarkStart w:id="0" w:name="_Toc22040"/>
      <w:bookmarkStart w:id="1" w:name="_Toc14589"/>
      <w:bookmarkStart w:id="2" w:name="_Toc519761648"/>
      <w:r>
        <w:rPr>
          <w:rFonts w:hint="eastAsia" w:ascii="黑体" w:hAnsi="黑体" w:eastAsia="黑体" w:cs="黑体"/>
          <w:sz w:val="32"/>
          <w:szCs w:val="32"/>
          <w:lang w:val="en-US" w:eastAsia="zh-CN"/>
        </w:rPr>
        <w:t>目次</w:t>
      </w:r>
      <w:bookmarkEnd w:id="0"/>
      <w:bookmarkEnd w:id="1"/>
    </w:p>
    <w:p>
      <w:pPr>
        <w:pStyle w:val="14"/>
        <w:tabs>
          <w:tab w:val="right" w:leader="dot" w:pos="9413"/>
          <w:tab w:val="clear" w:pos="9402"/>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TOC \o "1-1" \h \u </w:instrText>
      </w:r>
      <w:r>
        <w:rPr>
          <w:rFonts w:hint="eastAsia" w:ascii="宋体" w:hAnsi="宋体" w:eastAsia="宋体" w:cs="宋体"/>
          <w:sz w:val="21"/>
          <w:szCs w:val="21"/>
        </w:rPr>
        <w:fldChar w:fldCharType="separate"/>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_Toc9055 </w:instrText>
      </w:r>
      <w:r>
        <w:rPr>
          <w:rFonts w:hint="eastAsia" w:ascii="宋体" w:hAnsi="宋体" w:eastAsia="宋体" w:cs="宋体"/>
          <w:sz w:val="21"/>
          <w:szCs w:val="21"/>
        </w:rPr>
        <w:fldChar w:fldCharType="separate"/>
      </w:r>
      <w:r>
        <w:rPr>
          <w:rFonts w:hint="eastAsia" w:ascii="宋体" w:hAnsi="宋体" w:eastAsia="宋体" w:cs="宋体"/>
          <w:sz w:val="21"/>
          <w:szCs w:val="21"/>
          <w:lang w:val="en-US" w:eastAsia="zh-CN"/>
        </w:rPr>
        <w:t>前言</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_Toc9055 \h </w:instrText>
      </w:r>
      <w:r>
        <w:rPr>
          <w:rFonts w:hint="eastAsia" w:ascii="宋体" w:hAnsi="宋体" w:eastAsia="宋体" w:cs="宋体"/>
          <w:sz w:val="21"/>
          <w:szCs w:val="21"/>
        </w:rPr>
        <w:fldChar w:fldCharType="separate"/>
      </w:r>
      <w:r>
        <w:rPr>
          <w:rFonts w:hint="eastAsia" w:ascii="宋体" w:hAnsi="宋体" w:eastAsia="宋体" w:cs="宋体"/>
          <w:sz w:val="21"/>
          <w:szCs w:val="21"/>
        </w:rPr>
        <w:t>II</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4"/>
        <w:tabs>
          <w:tab w:val="right" w:leader="dot" w:pos="9413"/>
          <w:tab w:val="clear" w:pos="9402"/>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_Toc15272 </w:instrText>
      </w:r>
      <w:r>
        <w:rPr>
          <w:rFonts w:hint="eastAsia" w:ascii="宋体" w:hAnsi="宋体" w:eastAsia="宋体" w:cs="宋体"/>
          <w:sz w:val="21"/>
          <w:szCs w:val="21"/>
        </w:rPr>
        <w:fldChar w:fldCharType="separate"/>
      </w:r>
      <w:r>
        <w:rPr>
          <w:rFonts w:hint="eastAsia" w:ascii="宋体" w:hAnsi="宋体" w:eastAsia="宋体" w:cs="宋体"/>
          <w:sz w:val="21"/>
          <w:szCs w:val="21"/>
        </w:rPr>
        <w:t>1  范围</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_Toc15272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4"/>
        <w:tabs>
          <w:tab w:val="right" w:leader="dot" w:pos="9413"/>
          <w:tab w:val="clear" w:pos="9402"/>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_Toc4016 </w:instrText>
      </w:r>
      <w:r>
        <w:rPr>
          <w:rFonts w:hint="eastAsia" w:ascii="宋体" w:hAnsi="宋体" w:eastAsia="宋体" w:cs="宋体"/>
          <w:sz w:val="21"/>
          <w:szCs w:val="21"/>
        </w:rPr>
        <w:fldChar w:fldCharType="separate"/>
      </w:r>
      <w:r>
        <w:rPr>
          <w:rFonts w:hint="eastAsia" w:ascii="宋体" w:hAnsi="宋体" w:eastAsia="宋体" w:cs="宋体"/>
          <w:sz w:val="21"/>
          <w:szCs w:val="21"/>
        </w:rPr>
        <w:t>2  规范性引用文件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_Toc4016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4"/>
        <w:tabs>
          <w:tab w:val="right" w:leader="dot" w:pos="9413"/>
          <w:tab w:val="clear" w:pos="9402"/>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_Toc4958 </w:instrText>
      </w:r>
      <w:r>
        <w:rPr>
          <w:rFonts w:hint="eastAsia" w:ascii="宋体" w:hAnsi="宋体" w:eastAsia="宋体" w:cs="宋体"/>
          <w:sz w:val="21"/>
          <w:szCs w:val="21"/>
        </w:rPr>
        <w:fldChar w:fldCharType="separate"/>
      </w:r>
      <w:r>
        <w:rPr>
          <w:rFonts w:hint="eastAsia" w:ascii="宋体" w:hAnsi="宋体" w:eastAsia="宋体" w:cs="宋体"/>
          <w:sz w:val="21"/>
          <w:szCs w:val="21"/>
        </w:rPr>
        <w:t>3  术语和定义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_Toc4958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4"/>
        <w:tabs>
          <w:tab w:val="right" w:leader="dot" w:pos="9413"/>
          <w:tab w:val="clear" w:pos="9402"/>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_Toc17839 </w:instrText>
      </w:r>
      <w:r>
        <w:rPr>
          <w:rFonts w:hint="eastAsia" w:ascii="宋体" w:hAnsi="宋体" w:eastAsia="宋体" w:cs="宋体"/>
          <w:sz w:val="21"/>
          <w:szCs w:val="21"/>
        </w:rPr>
        <w:fldChar w:fldCharType="separate"/>
      </w:r>
      <w:r>
        <w:rPr>
          <w:rFonts w:hint="eastAsia" w:ascii="宋体" w:hAnsi="宋体" w:eastAsia="宋体" w:cs="宋体"/>
          <w:sz w:val="21"/>
          <w:szCs w:val="21"/>
        </w:rPr>
        <w:t xml:space="preserve">4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技术要求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_Toc17839 \h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4"/>
        <w:tabs>
          <w:tab w:val="right" w:leader="dot" w:pos="9413"/>
          <w:tab w:val="clear" w:pos="9402"/>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_Toc160 </w:instrText>
      </w:r>
      <w:r>
        <w:rPr>
          <w:rFonts w:hint="eastAsia" w:ascii="宋体" w:hAnsi="宋体" w:eastAsia="宋体" w:cs="宋体"/>
          <w:sz w:val="21"/>
          <w:szCs w:val="21"/>
        </w:rPr>
        <w:fldChar w:fldCharType="separate"/>
      </w:r>
      <w:r>
        <w:rPr>
          <w:rFonts w:hint="eastAsia" w:ascii="宋体" w:hAnsi="宋体" w:eastAsia="宋体" w:cs="宋体"/>
          <w:sz w:val="21"/>
          <w:szCs w:val="21"/>
          <w:lang w:val="en-US" w:eastAsia="zh-CN"/>
        </w:rPr>
        <w:t>5  设计和安装要求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_Toc160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4"/>
        <w:tabs>
          <w:tab w:val="right" w:leader="dot" w:pos="9413"/>
          <w:tab w:val="clear" w:pos="9402"/>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_Toc31829 </w:instrText>
      </w:r>
      <w:r>
        <w:rPr>
          <w:rFonts w:hint="eastAsia" w:ascii="宋体" w:hAnsi="宋体" w:eastAsia="宋体" w:cs="宋体"/>
          <w:sz w:val="21"/>
          <w:szCs w:val="21"/>
        </w:rPr>
        <w:fldChar w:fldCharType="separate"/>
      </w:r>
      <w:r>
        <w:rPr>
          <w:rFonts w:hint="eastAsia" w:ascii="宋体" w:hAnsi="宋体" w:eastAsia="宋体" w:cs="宋体"/>
          <w:sz w:val="21"/>
          <w:szCs w:val="21"/>
          <w:lang w:val="en-US" w:eastAsia="zh-CN"/>
        </w:rPr>
        <w:t>6  使用与维护</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_Toc31829 \h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4"/>
        <w:tabs>
          <w:tab w:val="right" w:leader="dot" w:pos="9413"/>
          <w:tab w:val="clear" w:pos="9402"/>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_Toc23823 </w:instrText>
      </w:r>
      <w:r>
        <w:rPr>
          <w:rFonts w:hint="eastAsia" w:ascii="宋体" w:hAnsi="宋体" w:eastAsia="宋体" w:cs="宋体"/>
          <w:sz w:val="21"/>
          <w:szCs w:val="21"/>
        </w:rPr>
        <w:fldChar w:fldCharType="separate"/>
      </w:r>
      <w:r>
        <w:rPr>
          <w:rFonts w:hint="eastAsia" w:ascii="宋体" w:hAnsi="宋体" w:eastAsia="宋体" w:cs="宋体"/>
          <w:sz w:val="21"/>
          <w:szCs w:val="21"/>
          <w:lang w:val="en-US" w:eastAsia="zh-CN"/>
        </w:rPr>
        <w:t>7  其他</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_Toc23823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4"/>
        <w:tabs>
          <w:tab w:val="right" w:leader="dot" w:pos="9413"/>
          <w:tab w:val="clear" w:pos="9402"/>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_Toc29444 </w:instrText>
      </w:r>
      <w:r>
        <w:rPr>
          <w:rFonts w:hint="eastAsia" w:ascii="宋体" w:hAnsi="宋体" w:eastAsia="宋体" w:cs="宋体"/>
          <w:sz w:val="21"/>
          <w:szCs w:val="21"/>
        </w:rPr>
        <w:fldChar w:fldCharType="separate"/>
      </w:r>
      <w:r>
        <w:rPr>
          <w:rFonts w:hint="eastAsia" w:ascii="宋体" w:hAnsi="宋体" w:eastAsia="宋体" w:cs="宋体"/>
          <w:sz w:val="21"/>
          <w:szCs w:val="21"/>
          <w:lang w:val="en-US" w:eastAsia="zh-CN"/>
        </w:rPr>
        <w:t>参考文献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_Toc29444 \h </w:instrText>
      </w:r>
      <w:r>
        <w:rPr>
          <w:rFonts w:hint="eastAsia" w:ascii="宋体" w:hAnsi="宋体" w:eastAsia="宋体" w:cs="宋体"/>
          <w:sz w:val="21"/>
          <w:szCs w:val="21"/>
        </w:rPr>
        <w:fldChar w:fldCharType="separate"/>
      </w:r>
      <w:r>
        <w:rPr>
          <w:rFonts w:hint="eastAsia" w:ascii="宋体" w:hAnsi="宋体" w:eastAsia="宋体" w:cs="宋体"/>
          <w:sz w:val="21"/>
          <w:szCs w:val="21"/>
        </w:rPr>
        <w:t>7</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0"/>
        <w:keepNext w:val="0"/>
        <w:keepLines w:val="0"/>
        <w:pageBreakBefore w:val="0"/>
        <w:widowControl w:val="0"/>
        <w:kinsoku/>
        <w:wordWrap/>
        <w:overflowPunct/>
        <w:topLinePunct w:val="0"/>
        <w:autoSpaceDE/>
        <w:autoSpaceDN/>
        <w:bidi w:val="0"/>
        <w:adjustRightInd/>
        <w:snapToGrid/>
        <w:textAlignment w:val="auto"/>
        <w:rPr>
          <w:rFonts w:hint="eastAsia"/>
          <w:sz w:val="21"/>
          <w:szCs w:val="21"/>
        </w:rPr>
      </w:pPr>
      <w:r>
        <w:rPr>
          <w:rFonts w:hint="eastAsia" w:ascii="宋体" w:hAnsi="宋体" w:eastAsia="宋体" w:cs="宋体"/>
          <w:sz w:val="21"/>
          <w:szCs w:val="21"/>
        </w:rPr>
        <w:fldChar w:fldCharType="end"/>
      </w:r>
      <w:bookmarkEnd w:id="2"/>
    </w:p>
    <w:p>
      <w:pPr>
        <w:pStyle w:val="10"/>
        <w:ind w:firstLine="641"/>
        <w:jc w:val="center"/>
        <w:rPr>
          <w:rFonts w:hint="eastAsia" w:ascii="黑体" w:hAnsi="黑体" w:eastAsia="黑体" w:cs="黑体"/>
          <w:sz w:val="32"/>
          <w:szCs w:val="32"/>
          <w:lang w:val="en-US" w:eastAsia="zh-CN"/>
        </w:rPr>
      </w:pPr>
    </w:p>
    <w:p>
      <w:pPr>
        <w:pStyle w:val="10"/>
        <w:ind w:firstLine="641"/>
        <w:jc w:val="center"/>
        <w:rPr>
          <w:rFonts w:hint="eastAsia" w:ascii="黑体" w:hAnsi="黑体" w:eastAsia="黑体" w:cs="黑体"/>
          <w:sz w:val="32"/>
          <w:szCs w:val="32"/>
          <w:lang w:val="en-US" w:eastAsia="zh-CN"/>
        </w:rPr>
      </w:pPr>
    </w:p>
    <w:p>
      <w:pPr>
        <w:pStyle w:val="10"/>
        <w:ind w:firstLine="641"/>
        <w:jc w:val="center"/>
        <w:rPr>
          <w:rFonts w:hint="eastAsia" w:ascii="黑体" w:hAnsi="黑体" w:eastAsia="黑体" w:cs="黑体"/>
          <w:sz w:val="32"/>
          <w:szCs w:val="32"/>
          <w:lang w:val="en-US" w:eastAsia="zh-CN"/>
        </w:rPr>
      </w:pPr>
    </w:p>
    <w:p>
      <w:pPr>
        <w:pStyle w:val="10"/>
        <w:ind w:firstLine="641"/>
        <w:jc w:val="center"/>
        <w:rPr>
          <w:rFonts w:hint="eastAsia" w:ascii="黑体" w:hAnsi="黑体" w:eastAsia="黑体" w:cs="黑体"/>
          <w:sz w:val="32"/>
          <w:szCs w:val="32"/>
          <w:lang w:val="en-US" w:eastAsia="zh-CN"/>
        </w:rPr>
      </w:pPr>
    </w:p>
    <w:p>
      <w:pPr>
        <w:pStyle w:val="10"/>
        <w:ind w:firstLine="641"/>
        <w:jc w:val="center"/>
        <w:rPr>
          <w:rFonts w:hint="eastAsia" w:ascii="黑体" w:hAnsi="黑体" w:eastAsia="黑体" w:cs="黑体"/>
          <w:sz w:val="32"/>
          <w:szCs w:val="32"/>
          <w:lang w:val="en-US" w:eastAsia="zh-CN"/>
        </w:rPr>
        <w:sectPr>
          <w:footerReference r:id="rId12" w:type="default"/>
          <w:headerReference r:id="rId11" w:type="even"/>
          <w:footerReference r:id="rId13" w:type="even"/>
          <w:pgSz w:w="11907" w:h="16840"/>
          <w:pgMar w:top="1361" w:right="1247" w:bottom="1134" w:left="1247" w:header="1418" w:footer="907" w:gutter="0"/>
          <w:pgNumType w:fmt="upperRoman" w:start="1"/>
          <w:cols w:space="720" w:num="1"/>
          <w:docGrid w:type="linesAndChars" w:linePitch="312" w:charSpace="0"/>
        </w:sectPr>
      </w:pPr>
    </w:p>
    <w:p>
      <w:pPr>
        <w:pStyle w:val="10"/>
        <w:keepNext w:val="0"/>
        <w:keepLines w:val="0"/>
        <w:pageBreakBefore/>
        <w:widowControl w:val="0"/>
        <w:kinsoku/>
        <w:wordWrap/>
        <w:overflowPunct/>
        <w:topLinePunct w:val="0"/>
        <w:autoSpaceDE/>
        <w:autoSpaceDN/>
        <w:bidi w:val="0"/>
        <w:adjustRightInd/>
        <w:snapToGrid/>
        <w:spacing w:before="850" w:after="680"/>
        <w:ind w:firstLine="0"/>
        <w:jc w:val="center"/>
        <w:textAlignment w:val="auto"/>
        <w:outlineLvl w:val="0"/>
        <w:rPr>
          <w:rFonts w:hint="eastAsia" w:ascii="黑体" w:hAnsi="黑体" w:eastAsia="黑体" w:cs="黑体"/>
          <w:sz w:val="32"/>
          <w:szCs w:val="32"/>
          <w:lang w:val="en-US" w:eastAsia="zh-CN"/>
        </w:rPr>
      </w:pPr>
      <w:bookmarkStart w:id="3" w:name="_Toc3749"/>
      <w:bookmarkStart w:id="4" w:name="_Toc9055"/>
      <w:r>
        <w:rPr>
          <w:rFonts w:hint="eastAsia" w:ascii="黑体" w:hAnsi="黑体" w:eastAsia="黑体" w:cs="黑体"/>
          <w:sz w:val="32"/>
          <w:szCs w:val="32"/>
          <w:lang w:val="en-US" w:eastAsia="zh-CN"/>
        </w:rPr>
        <w:t>前言</w:t>
      </w:r>
      <w:bookmarkEnd w:id="3"/>
      <w:bookmarkEnd w:id="4"/>
    </w:p>
    <w:p>
      <w:pPr>
        <w:pStyle w:val="10"/>
        <w:ind w:firstLine="641"/>
        <w:rPr>
          <w:rFonts w:hAnsi="宋体"/>
          <w:sz w:val="21"/>
          <w:szCs w:val="21"/>
        </w:rPr>
      </w:pPr>
      <w:r>
        <w:rPr>
          <w:rFonts w:hint="eastAsia"/>
          <w:sz w:val="21"/>
          <w:szCs w:val="21"/>
        </w:rPr>
        <w:t>本标准按照GB/T 1.1-20</w:t>
      </w:r>
      <w:r>
        <w:rPr>
          <w:rFonts w:hint="eastAsia"/>
          <w:sz w:val="21"/>
          <w:szCs w:val="21"/>
          <w:lang w:val="en-US" w:eastAsia="zh-CN"/>
        </w:rPr>
        <w:t>20</w:t>
      </w:r>
      <w:r>
        <w:rPr>
          <w:rFonts w:hint="eastAsia"/>
          <w:sz w:val="21"/>
          <w:szCs w:val="21"/>
        </w:rPr>
        <w:t>给出的规则起草。</w:t>
      </w:r>
    </w:p>
    <w:p>
      <w:pPr>
        <w:pStyle w:val="10"/>
        <w:ind w:firstLine="641"/>
        <w:rPr>
          <w:rFonts w:hint="eastAsia"/>
          <w:sz w:val="21"/>
          <w:szCs w:val="21"/>
        </w:rPr>
      </w:pPr>
      <w:r>
        <w:rPr>
          <w:rFonts w:hint="eastAsia"/>
          <w:sz w:val="21"/>
          <w:szCs w:val="21"/>
        </w:rPr>
        <w:t>本标准由河北省应急管理厅提出并归口。</w:t>
      </w:r>
    </w:p>
    <w:p>
      <w:pPr>
        <w:pStyle w:val="10"/>
        <w:ind w:firstLine="641"/>
        <w:rPr>
          <w:rFonts w:hint="eastAsia"/>
          <w:sz w:val="21"/>
          <w:szCs w:val="21"/>
        </w:rPr>
      </w:pPr>
      <w:r>
        <w:rPr>
          <w:rFonts w:hint="eastAsia"/>
          <w:sz w:val="21"/>
          <w:szCs w:val="21"/>
        </w:rPr>
        <w:t>本标准起草单位：河北冀拓应急科技有限公司。</w:t>
      </w:r>
    </w:p>
    <w:p>
      <w:pPr>
        <w:pStyle w:val="10"/>
        <w:ind w:firstLine="641"/>
        <w:rPr>
          <w:rFonts w:hint="eastAsia"/>
          <w:sz w:val="21"/>
          <w:szCs w:val="21"/>
        </w:rPr>
      </w:pPr>
      <w:r>
        <w:rPr>
          <w:rFonts w:hint="eastAsia"/>
          <w:sz w:val="21"/>
          <w:szCs w:val="21"/>
        </w:rPr>
        <w:t>本标准主要起草人：赵清华、张鹏、刘卫云、魏景瑞、张华、孔晓峰、孟航、侯华飞、李欣、马会鹏、郭世豪、侯佳斌、李少华、魏波</w:t>
      </w:r>
      <w:r>
        <w:rPr>
          <w:rFonts w:hint="eastAsia"/>
          <w:sz w:val="21"/>
          <w:szCs w:val="21"/>
          <w:lang w:eastAsia="zh-CN"/>
        </w:rPr>
        <w:t>、</w:t>
      </w:r>
      <w:r>
        <w:rPr>
          <w:rFonts w:hint="eastAsia"/>
          <w:sz w:val="21"/>
          <w:szCs w:val="21"/>
          <w:lang w:val="en-US" w:eastAsia="zh-CN"/>
        </w:rPr>
        <w:t>杨庆元、贾永报、陈树彬</w:t>
      </w:r>
      <w:r>
        <w:rPr>
          <w:rFonts w:hint="eastAsia"/>
          <w:sz w:val="21"/>
          <w:szCs w:val="21"/>
        </w:rPr>
        <w:t>。</w:t>
      </w:r>
    </w:p>
    <w:p>
      <w:pPr>
        <w:pStyle w:val="10"/>
        <w:ind w:firstLine="641"/>
        <w:rPr>
          <w:rFonts w:hint="eastAsia"/>
          <w:sz w:val="21"/>
          <w:szCs w:val="21"/>
        </w:rPr>
      </w:pPr>
    </w:p>
    <w:p>
      <w:pPr>
        <w:pStyle w:val="10"/>
        <w:ind w:firstLine="641"/>
        <w:rPr>
          <w:rFonts w:hint="eastAsia"/>
          <w:sz w:val="21"/>
          <w:szCs w:val="21"/>
        </w:rPr>
      </w:pPr>
    </w:p>
    <w:p>
      <w:pPr>
        <w:pStyle w:val="10"/>
        <w:ind w:firstLine="641"/>
        <w:rPr>
          <w:rFonts w:hint="eastAsia"/>
          <w:sz w:val="21"/>
          <w:szCs w:val="21"/>
        </w:rPr>
      </w:pPr>
    </w:p>
    <w:p>
      <w:pPr>
        <w:pStyle w:val="10"/>
        <w:ind w:firstLine="641"/>
        <w:rPr>
          <w:rFonts w:hint="eastAsia"/>
          <w:sz w:val="21"/>
          <w:szCs w:val="21"/>
        </w:rPr>
      </w:pPr>
    </w:p>
    <w:p>
      <w:pPr>
        <w:pStyle w:val="10"/>
        <w:ind w:firstLine="641"/>
        <w:rPr>
          <w:rFonts w:hint="eastAsia"/>
          <w:sz w:val="21"/>
          <w:szCs w:val="21"/>
        </w:rPr>
      </w:pPr>
    </w:p>
    <w:p>
      <w:pPr>
        <w:pStyle w:val="10"/>
        <w:rPr>
          <w:rFonts w:hint="eastAsia"/>
          <w:sz w:val="21"/>
          <w:szCs w:val="21"/>
        </w:rPr>
        <w:sectPr>
          <w:footerReference r:id="rId15" w:type="default"/>
          <w:headerReference r:id="rId14" w:type="even"/>
          <w:footerReference r:id="rId16" w:type="even"/>
          <w:pgSz w:w="11907" w:h="16840"/>
          <w:pgMar w:top="1361" w:right="1247" w:bottom="1134" w:left="1247" w:header="1418" w:footer="907" w:gutter="0"/>
          <w:pgNumType w:fmt="upperRoman" w:start="2"/>
          <w:cols w:space="720" w:num="1"/>
          <w:docGrid w:type="linesAndChars" w:linePitch="312" w:charSpace="0"/>
        </w:sectPr>
      </w:pPr>
    </w:p>
    <w:p>
      <w:pPr>
        <w:keepNext w:val="0"/>
        <w:keepLines w:val="0"/>
        <w:pageBreakBefore w:val="0"/>
        <w:widowControl w:val="0"/>
        <w:kinsoku/>
        <w:wordWrap/>
        <w:overflowPunct/>
        <w:topLinePunct w:val="0"/>
        <w:autoSpaceDE/>
        <w:autoSpaceDN/>
        <w:bidi w:val="0"/>
        <w:adjustRightInd/>
        <w:snapToGrid/>
        <w:spacing w:before="850" w:after="680" w:line="480" w:lineRule="auto"/>
        <w:jc w:val="center"/>
        <w:textAlignment w:val="auto"/>
        <w:outlineLvl w:val="9"/>
        <w:rPr>
          <w:rFonts w:hint="eastAsia" w:ascii="黑体" w:hAnsi="黑体" w:eastAsia="黑体"/>
          <w:bCs/>
          <w:sz w:val="32"/>
          <w:szCs w:val="32"/>
        </w:rPr>
      </w:pPr>
      <w:r>
        <w:rPr>
          <w:rFonts w:hint="eastAsia" w:ascii="黑体" w:hAnsi="黑体" w:eastAsia="黑体"/>
          <w:bCs/>
          <w:sz w:val="32"/>
          <w:szCs w:val="32"/>
        </w:rPr>
        <w:t>金属非金属地下矿山人员精准定位系统建设规范</w:t>
      </w:r>
    </w:p>
    <w:p>
      <w:pPr>
        <w:spacing w:before="312" w:beforeLines="100" w:after="312" w:afterLines="100"/>
        <w:outlineLvl w:val="0"/>
        <w:rPr>
          <w:rFonts w:hint="eastAsia" w:ascii="黑体" w:hAnsi="黑体" w:eastAsia="黑体" w:cs="Times New Roman"/>
          <w:szCs w:val="21"/>
        </w:rPr>
      </w:pPr>
      <w:bookmarkStart w:id="5" w:name="_Toc519761649"/>
      <w:bookmarkStart w:id="6" w:name="_Toc15272"/>
      <w:r>
        <w:rPr>
          <w:rFonts w:hint="eastAsia" w:ascii="黑体" w:hAnsi="黑体" w:eastAsia="黑体" w:cs="Times New Roman"/>
          <w:szCs w:val="21"/>
        </w:rPr>
        <w:t>1  范围</w:t>
      </w:r>
      <w:bookmarkEnd w:id="5"/>
      <w:bookmarkEnd w:id="6"/>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hAnsi="Times New Roman" w:eastAsia="宋体" w:cs="Times New Roman"/>
          <w:sz w:val="21"/>
          <w:szCs w:val="21"/>
        </w:rPr>
      </w:pPr>
      <w:r>
        <w:rPr>
          <w:rFonts w:hint="eastAsia" w:hAnsi="Times New Roman" w:eastAsia="宋体" w:cs="Times New Roman"/>
          <w:sz w:val="21"/>
          <w:szCs w:val="21"/>
        </w:rPr>
        <w:t>本标准规定了金属非金属地下矿山人员精准定位系统（以下简称</w:t>
      </w:r>
      <w:r>
        <w:rPr>
          <w:rFonts w:hint="eastAsia" w:hAnsi="Times New Roman" w:eastAsia="宋体" w:cs="Times New Roman"/>
          <w:sz w:val="21"/>
          <w:szCs w:val="21"/>
          <w:lang w:val="en-US" w:eastAsia="zh-CN"/>
        </w:rPr>
        <w:t>为</w:t>
      </w:r>
      <w:r>
        <w:rPr>
          <w:rFonts w:hint="eastAsia" w:hAnsi="Times New Roman" w:eastAsia="宋体" w:cs="Times New Roman"/>
          <w:sz w:val="21"/>
          <w:szCs w:val="21"/>
        </w:rPr>
        <w:t>系统）的</w:t>
      </w:r>
      <w:r>
        <w:rPr>
          <w:rFonts w:hint="eastAsia" w:hAnsi="Times New Roman" w:eastAsia="宋体" w:cs="Times New Roman"/>
          <w:sz w:val="21"/>
          <w:szCs w:val="21"/>
          <w:lang w:val="en-US" w:eastAsia="zh-CN"/>
        </w:rPr>
        <w:t>技术、设计、安装、</w:t>
      </w:r>
      <w:r>
        <w:rPr>
          <w:rFonts w:hint="eastAsia" w:hAnsi="Times New Roman" w:eastAsia="宋体" w:cs="Times New Roman"/>
          <w:color w:val="auto"/>
          <w:sz w:val="21"/>
          <w:szCs w:val="21"/>
          <w:lang w:val="en-US" w:eastAsia="zh-CN"/>
        </w:rPr>
        <w:t>使用、维护和管理</w:t>
      </w:r>
      <w:r>
        <w:rPr>
          <w:rFonts w:hint="eastAsia" w:hAnsi="Times New Roman" w:eastAsia="宋体" w:cs="Times New Roman"/>
          <w:color w:val="auto"/>
          <w:sz w:val="21"/>
          <w:szCs w:val="21"/>
        </w:rPr>
        <w:t>要求。</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hAnsi="Times New Roman" w:eastAsia="宋体" w:cs="Times New Roman"/>
          <w:sz w:val="21"/>
          <w:szCs w:val="21"/>
        </w:rPr>
      </w:pPr>
      <w:r>
        <w:rPr>
          <w:rFonts w:hint="eastAsia" w:hAnsi="Times New Roman" w:eastAsia="宋体" w:cs="Times New Roman"/>
          <w:sz w:val="21"/>
          <w:szCs w:val="21"/>
        </w:rPr>
        <w:t>本标准不适用于与煤共生、伴生的金属非金属地下矿山。</w:t>
      </w:r>
    </w:p>
    <w:p>
      <w:pPr>
        <w:spacing w:before="312" w:beforeLines="100" w:after="312" w:afterLines="100"/>
        <w:outlineLvl w:val="0"/>
        <w:rPr>
          <w:rFonts w:hint="eastAsia" w:ascii="黑体" w:hAnsi="黑体" w:eastAsia="黑体" w:cs="Times New Roman"/>
          <w:szCs w:val="21"/>
        </w:rPr>
      </w:pPr>
      <w:bookmarkStart w:id="7" w:name="_Toc4016"/>
      <w:bookmarkStart w:id="8" w:name="_Toc519761650"/>
      <w:r>
        <w:rPr>
          <w:rFonts w:hint="eastAsia" w:ascii="黑体" w:hAnsi="黑体" w:eastAsia="黑体" w:cs="Times New Roman"/>
          <w:szCs w:val="21"/>
        </w:rPr>
        <w:t>2  规范性引用文件</w:t>
      </w:r>
      <w:bookmarkEnd w:id="7"/>
      <w:bookmarkEnd w:id="8"/>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下列文件中的内容通过文中的规范性引用而构成文件必不可少的条款。其中注日期的引用文件，仅该日期对应的版本适用于本文件；不注日期的引用文件，其最新版本（包括所有的修改单）适用于本文件。</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eastAsia="宋体" w:cs="Times New Roman"/>
          <w:color w:val="auto"/>
          <w:sz w:val="21"/>
          <w:szCs w:val="21"/>
        </w:rPr>
      </w:pPr>
      <w:r>
        <w:rPr>
          <w:rFonts w:hint="eastAsia" w:ascii="黑体" w:hAnsi="黑体" w:eastAsia="黑体" w:cs="黑体"/>
          <w:color w:val="auto"/>
          <w:sz w:val="21"/>
          <w:szCs w:val="21"/>
        </w:rPr>
        <w:t>GB 16423</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z w:val="21"/>
          <w:szCs w:val="21"/>
          <w:lang w:val="en-US" w:eastAsia="zh-CN"/>
        </w:rPr>
        <w:t>金</w:t>
      </w:r>
      <w:r>
        <w:rPr>
          <w:rFonts w:hint="default" w:ascii="Times New Roman" w:hAnsi="Times New Roman" w:eastAsia="宋体" w:cs="Times New Roman"/>
          <w:color w:val="auto"/>
          <w:sz w:val="21"/>
          <w:szCs w:val="21"/>
        </w:rPr>
        <w:t>属非金属矿山安全规程</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GB 50057</w:t>
      </w:r>
      <w:r>
        <w:rPr>
          <w:rFonts w:hint="eastAsia" w:ascii="黑体" w:hAnsi="黑体" w:eastAsia="黑体" w:cs="黑体"/>
          <w:color w:val="auto"/>
          <w:sz w:val="21"/>
          <w:szCs w:val="21"/>
          <w:lang w:val="en-US" w:eastAsia="zh-CN"/>
        </w:rPr>
        <w:t xml:space="preserve">  </w:t>
      </w:r>
      <w:r>
        <w:rPr>
          <w:rFonts w:hint="eastAsia" w:ascii="Times New Roman" w:hAnsi="Times New Roman" w:eastAsia="宋体" w:cs="Times New Roman"/>
          <w:color w:val="auto"/>
          <w:sz w:val="21"/>
          <w:szCs w:val="21"/>
          <w:lang w:val="en-US" w:eastAsia="zh-CN"/>
        </w:rPr>
        <w:t>建筑物防雷设计规范</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hAnsi="黑体" w:eastAsia="黑体" w:cs="黑体"/>
          <w:sz w:val="21"/>
          <w:szCs w:val="21"/>
          <w:lang w:val="en-US" w:eastAsia="zh-CN"/>
        </w:rPr>
      </w:pPr>
      <w:r>
        <w:rPr>
          <w:rFonts w:hint="eastAsia" w:ascii="黑体" w:hAnsi="黑体" w:eastAsia="黑体" w:cs="黑体"/>
          <w:sz w:val="21"/>
          <w:szCs w:val="21"/>
        </w:rPr>
        <w:t>AQ 2032</w:t>
      </w:r>
      <w:r>
        <w:rPr>
          <w:rFonts w:hint="default" w:ascii="Times New Roman" w:hAnsi="Times New Roman" w:eastAsia="宋体" w:cs="Times New Roman"/>
          <w:sz w:val="21"/>
          <w:szCs w:val="21"/>
        </w:rPr>
        <w:t xml:space="preserve">  金属非金属地下矿山人员定位系统建设规范</w:t>
      </w:r>
    </w:p>
    <w:p>
      <w:pPr>
        <w:spacing w:before="312" w:beforeLines="100" w:after="312" w:afterLines="100"/>
        <w:outlineLvl w:val="0"/>
        <w:rPr>
          <w:rFonts w:hint="eastAsia" w:ascii="黑体" w:hAnsi="黑体" w:eastAsia="黑体" w:cs="Times New Roman"/>
          <w:szCs w:val="21"/>
        </w:rPr>
      </w:pPr>
      <w:bookmarkStart w:id="9" w:name="_Toc4958"/>
      <w:bookmarkStart w:id="10" w:name="_Toc519761651"/>
      <w:r>
        <w:rPr>
          <w:rFonts w:hint="eastAsia" w:ascii="黑体" w:hAnsi="黑体" w:eastAsia="黑体" w:cs="Times New Roman"/>
          <w:szCs w:val="21"/>
        </w:rPr>
        <w:t>3  术语和定义</w:t>
      </w:r>
      <w:bookmarkEnd w:id="9"/>
      <w:bookmarkEnd w:id="10"/>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Times New Roman" w:hAnsi="Times New Roman" w:eastAsia="宋体" w:cs="Times New Roman"/>
          <w:sz w:val="21"/>
          <w:szCs w:val="21"/>
        </w:rPr>
      </w:pPr>
      <w:r>
        <w:rPr>
          <w:rFonts w:hint="eastAsia" w:ascii="黑体" w:hAnsi="黑体" w:eastAsia="黑体" w:cs="黑体"/>
          <w:sz w:val="21"/>
          <w:szCs w:val="21"/>
        </w:rPr>
        <w:t>AQ 2032</w:t>
      </w:r>
      <w:r>
        <w:rPr>
          <w:rFonts w:hint="default" w:ascii="Times New Roman" w:hAnsi="Times New Roman" w:eastAsia="宋体" w:cs="Times New Roman"/>
          <w:sz w:val="21"/>
          <w:szCs w:val="21"/>
        </w:rPr>
        <w:t>界定的以及下列术语和定义适用于本文件</w:t>
      </w:r>
      <w:r>
        <w:rPr>
          <w:rFonts w:hint="eastAsia" w:ascii="Times New Roman" w:hAnsi="Times New Roman" w:eastAsia="宋体" w:cs="Times New Roman"/>
          <w:color w:val="auto"/>
          <w:sz w:val="21"/>
          <w:szCs w:val="21"/>
          <w:lang w:eastAsia="zh-CN"/>
        </w:rPr>
        <w:t>，为方便使用，某些术语重复列出</w:t>
      </w:r>
      <w:r>
        <w:rPr>
          <w:rFonts w:hint="default" w:ascii="Times New Roman" w:hAnsi="Times New Roman" w:eastAsia="宋体" w:cs="Times New Roman"/>
          <w:color w:val="auto"/>
          <w:sz w:val="21"/>
          <w:szCs w:val="21"/>
        </w:rPr>
        <w:t>。</w:t>
      </w:r>
      <w:bookmarkStart w:id="11" w:name="_Toc332876526"/>
      <w:bookmarkEnd w:id="11"/>
    </w:p>
    <w:p>
      <w:pPr>
        <w:pStyle w:val="29"/>
        <w:spacing w:before="156" w:beforeLines="50" w:after="156" w:afterLines="50"/>
        <w:ind w:firstLine="0" w:firstLineChars="0"/>
        <w:outlineLvl w:val="9"/>
        <w:rPr>
          <w:rFonts w:hint="eastAsia" w:ascii="黑体" w:hAnsi="黑体" w:eastAsia="黑体" w:cs="黑体"/>
          <w:sz w:val="21"/>
          <w:szCs w:val="21"/>
        </w:rPr>
      </w:pPr>
      <w:r>
        <w:rPr>
          <w:rFonts w:hint="eastAsia" w:ascii="黑体" w:hAnsi="黑体" w:eastAsia="黑体" w:cs="黑体"/>
          <w:sz w:val="21"/>
          <w:szCs w:val="21"/>
        </w:rPr>
        <w:t>3.1</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ascii="黑体" w:hAnsi="黑体" w:eastAsia="黑体" w:cs="黑体"/>
          <w:color w:val="FF0000"/>
          <w:sz w:val="21"/>
          <w:szCs w:val="21"/>
        </w:rPr>
      </w:pPr>
      <w:r>
        <w:rPr>
          <w:rFonts w:hint="eastAsia" w:ascii="黑体" w:hAnsi="黑体" w:eastAsia="黑体" w:cs="黑体"/>
          <w:sz w:val="21"/>
          <w:szCs w:val="21"/>
        </w:rPr>
        <w:t>人员</w:t>
      </w:r>
      <w:r>
        <w:rPr>
          <w:rFonts w:hint="eastAsia" w:ascii="黑体" w:hAnsi="黑体" w:eastAsia="黑体" w:cs="黑体"/>
          <w:sz w:val="21"/>
          <w:szCs w:val="21"/>
          <w:lang w:val="en-US" w:eastAsia="zh-CN"/>
        </w:rPr>
        <w:t>精准</w:t>
      </w:r>
      <w:r>
        <w:rPr>
          <w:rFonts w:hint="eastAsia" w:ascii="黑体" w:hAnsi="黑体" w:eastAsia="黑体" w:cs="黑体"/>
          <w:sz w:val="21"/>
          <w:szCs w:val="21"/>
        </w:rPr>
        <w:t>定位系统</w:t>
      </w:r>
    </w:p>
    <w:p>
      <w:pPr>
        <w:ind w:firstLine="420" w:firstLineChars="200"/>
        <w:outlineLvl w:val="9"/>
        <w:rPr>
          <w:rFonts w:hint="eastAsia" w:ascii="宋体" w:hAnsi="宋体" w:eastAsia="宋体" w:cs="Times New Roman"/>
          <w:color w:val="auto"/>
          <w:szCs w:val="21"/>
        </w:rPr>
      </w:pPr>
      <w:r>
        <w:rPr>
          <w:rFonts w:hint="eastAsia" w:ascii="宋体" w:hAnsi="宋体" w:eastAsia="宋体" w:cs="Times New Roman"/>
          <w:color w:val="auto"/>
          <w:szCs w:val="21"/>
        </w:rPr>
        <w:t>由</w:t>
      </w:r>
      <w:r>
        <w:rPr>
          <w:rFonts w:hint="eastAsia" w:ascii="宋体" w:hAnsi="宋体" w:eastAsia="宋体" w:cs="Times New Roman"/>
          <w:color w:val="auto"/>
          <w:szCs w:val="21"/>
          <w:lang w:val="en-US" w:eastAsia="zh-CN"/>
        </w:rPr>
        <w:t>主机</w:t>
      </w:r>
      <w:r>
        <w:rPr>
          <w:rFonts w:hint="eastAsia" w:ascii="宋体" w:hAnsi="宋体" w:eastAsia="宋体" w:cs="Times New Roman"/>
          <w:color w:val="auto"/>
          <w:szCs w:val="21"/>
        </w:rPr>
        <w:t>、传输接口、分站、</w:t>
      </w:r>
      <w:r>
        <w:rPr>
          <w:rFonts w:hint="eastAsia" w:ascii="宋体" w:hAnsi="宋体" w:eastAsia="宋体" w:cs="Times New Roman"/>
          <w:color w:val="auto"/>
          <w:szCs w:val="21"/>
          <w:lang w:val="en-US" w:eastAsia="zh-CN"/>
        </w:rPr>
        <w:t>识别卡</w:t>
      </w:r>
      <w:r>
        <w:rPr>
          <w:rFonts w:hint="eastAsia" w:ascii="宋体" w:hAnsi="宋体" w:eastAsia="宋体" w:cs="Times New Roman"/>
          <w:color w:val="auto"/>
          <w:szCs w:val="21"/>
        </w:rPr>
        <w:t>、传输线缆等设备及管理软件组成的系统,准确掌握携卡人员出</w:t>
      </w:r>
      <w:r>
        <w:rPr>
          <w:rFonts w:hint="eastAsia" w:ascii="宋体" w:hAnsi="宋体" w:eastAsia="宋体" w:cs="Times New Roman"/>
          <w:color w:val="auto"/>
          <w:szCs w:val="21"/>
          <w:lang w:val="en-US" w:eastAsia="zh-CN"/>
        </w:rPr>
        <w:t>入</w:t>
      </w:r>
      <w:r>
        <w:rPr>
          <w:rFonts w:hint="eastAsia" w:ascii="宋体" w:hAnsi="宋体" w:eastAsia="宋体" w:cs="Times New Roman"/>
          <w:color w:val="auto"/>
          <w:szCs w:val="21"/>
        </w:rPr>
        <w:t>井时刻、重点区域出</w:t>
      </w:r>
      <w:r>
        <w:rPr>
          <w:rFonts w:hint="eastAsia" w:ascii="宋体" w:hAnsi="宋体" w:eastAsia="宋体" w:cs="Times New Roman"/>
          <w:color w:val="auto"/>
          <w:szCs w:val="21"/>
          <w:lang w:val="en-US" w:eastAsia="zh-CN"/>
        </w:rPr>
        <w:t>入</w:t>
      </w:r>
      <w:r>
        <w:rPr>
          <w:rFonts w:hint="eastAsia" w:ascii="宋体" w:hAnsi="宋体" w:eastAsia="宋体" w:cs="Times New Roman"/>
          <w:color w:val="auto"/>
          <w:szCs w:val="21"/>
        </w:rPr>
        <w:t>时刻、工作时间、井下和重点区域人员数量、井下作业人员任意时刻所在的位置及各时间段的活动轨迹</w:t>
      </w:r>
      <w:r>
        <w:rPr>
          <w:rFonts w:hint="eastAsia" w:ascii="宋体" w:hAnsi="宋体" w:cs="Times New Roman"/>
          <w:color w:val="auto"/>
          <w:szCs w:val="21"/>
          <w:lang w:eastAsia="zh-CN"/>
        </w:rPr>
        <w:t>，</w:t>
      </w:r>
      <w:r>
        <w:rPr>
          <w:rFonts w:hint="eastAsia" w:ascii="宋体" w:hAnsi="宋体" w:cs="Times New Roman"/>
          <w:color w:val="auto"/>
          <w:szCs w:val="21"/>
          <w:lang w:val="en-US" w:eastAsia="zh-CN"/>
        </w:rPr>
        <w:t>精准</w:t>
      </w:r>
      <w:r>
        <w:rPr>
          <w:rFonts w:hint="eastAsia" w:ascii="宋体" w:hAnsi="宋体" w:eastAsia="宋体" w:cs="Times New Roman"/>
          <w:color w:val="auto"/>
          <w:szCs w:val="21"/>
        </w:rPr>
        <w:t>定位误差应不大于0.3m</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lang w:val="en-US" w:eastAsia="zh-CN"/>
        </w:rPr>
        <w:t>且</w:t>
      </w:r>
      <w:r>
        <w:rPr>
          <w:rFonts w:hint="eastAsia" w:ascii="宋体" w:hAnsi="宋体" w:eastAsia="宋体" w:cs="Times New Roman"/>
          <w:color w:val="auto"/>
          <w:szCs w:val="21"/>
        </w:rPr>
        <w:t>具有对信息进行监测、显示、</w:t>
      </w:r>
      <w:r>
        <w:rPr>
          <w:rFonts w:hint="eastAsia" w:ascii="宋体" w:hAnsi="宋体" w:eastAsia="宋体" w:cs="Times New Roman"/>
          <w:color w:val="auto"/>
          <w:szCs w:val="21"/>
          <w:lang w:val="en-US" w:eastAsia="zh-CN"/>
        </w:rPr>
        <w:t>报警、</w:t>
      </w:r>
      <w:r>
        <w:rPr>
          <w:rFonts w:hint="eastAsia" w:ascii="宋体" w:hAnsi="宋体" w:eastAsia="宋体" w:cs="Times New Roman"/>
          <w:color w:val="auto"/>
          <w:szCs w:val="21"/>
        </w:rPr>
        <w:t>储存、查询、打印、管理等功能。</w:t>
      </w:r>
    </w:p>
    <w:p>
      <w:pPr>
        <w:pStyle w:val="29"/>
        <w:spacing w:before="156" w:beforeLines="50" w:after="156" w:afterLines="50"/>
        <w:ind w:firstLine="0" w:firstLineChars="0"/>
        <w:outlineLvl w:val="9"/>
        <w:rPr>
          <w:rFonts w:hint="eastAsia" w:ascii="黑体" w:hAnsi="黑体" w:eastAsia="黑体" w:cs="黑体"/>
          <w:color w:val="auto"/>
          <w:sz w:val="21"/>
          <w:szCs w:val="21"/>
        </w:rPr>
      </w:pPr>
      <w:r>
        <w:rPr>
          <w:rFonts w:hint="eastAsia" w:ascii="黑体" w:hAnsi="黑体" w:eastAsia="黑体" w:cs="黑体"/>
          <w:color w:val="auto"/>
          <w:sz w:val="21"/>
          <w:szCs w:val="21"/>
        </w:rPr>
        <w:t>3.2</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rPr>
        <w:t>分站</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default" w:hAnsi="Times New Roman" w:eastAsia="宋体" w:cs="Times New Roman"/>
          <w:color w:val="auto"/>
          <w:sz w:val="21"/>
          <w:szCs w:val="21"/>
          <w:lang w:val="en-US" w:eastAsia="zh-CN"/>
        </w:rPr>
      </w:pPr>
      <w:r>
        <w:rPr>
          <w:rFonts w:hint="default" w:hAnsi="Times New Roman" w:eastAsia="宋体" w:cs="Times New Roman"/>
          <w:color w:val="auto"/>
          <w:sz w:val="21"/>
          <w:szCs w:val="21"/>
          <w:lang w:val="en-US" w:eastAsia="zh-CN"/>
        </w:rPr>
        <w:t>通过无线方式读取</w:t>
      </w:r>
      <w:r>
        <w:rPr>
          <w:rFonts w:hint="eastAsia" w:hAnsi="Times New Roman" w:eastAsia="宋体" w:cs="Times New Roman"/>
          <w:color w:val="auto"/>
          <w:sz w:val="21"/>
          <w:szCs w:val="21"/>
          <w:lang w:val="en-US" w:eastAsia="zh-CN"/>
        </w:rPr>
        <w:t>识别卡</w:t>
      </w:r>
      <w:r>
        <w:rPr>
          <w:rFonts w:hint="default" w:hAnsi="Times New Roman" w:eastAsia="宋体" w:cs="Times New Roman"/>
          <w:color w:val="auto"/>
          <w:sz w:val="21"/>
          <w:szCs w:val="21"/>
          <w:lang w:val="en-US" w:eastAsia="zh-CN"/>
        </w:rPr>
        <w:t>内用于人员识别的信息,并发送至传输接口的装置。</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default" w:hAnsi="Times New Roman" w:eastAsia="宋体" w:cs="Times New Roman"/>
          <w:sz w:val="21"/>
          <w:szCs w:val="21"/>
          <w:lang w:val="en-US" w:eastAsia="zh-CN"/>
        </w:rPr>
      </w:pPr>
      <w:r>
        <w:rPr>
          <w:rFonts w:hint="eastAsia" w:hAnsi="Times New Roman" w:eastAsia="宋体" w:cs="Times New Roman"/>
          <w:sz w:val="21"/>
          <w:szCs w:val="21"/>
        </w:rPr>
        <w:t>[</w:t>
      </w:r>
      <w:r>
        <w:rPr>
          <w:rFonts w:hint="eastAsia" w:hAnsi="Times New Roman" w:eastAsia="宋体" w:cs="Times New Roman"/>
          <w:sz w:val="21"/>
          <w:szCs w:val="21"/>
          <w:lang w:val="en-US" w:eastAsia="zh-CN"/>
        </w:rPr>
        <w:t>来源：</w:t>
      </w:r>
      <w:r>
        <w:rPr>
          <w:rFonts w:hint="eastAsia" w:hAnsi="Times New Roman" w:eastAsia="宋体" w:cs="Times New Roman"/>
          <w:sz w:val="21"/>
          <w:szCs w:val="21"/>
        </w:rPr>
        <w:t>AQ</w:t>
      </w:r>
      <w:r>
        <w:rPr>
          <w:rFonts w:hint="eastAsia" w:hAnsi="Times New Roman" w:eastAsia="宋体" w:cs="Times New Roman"/>
          <w:sz w:val="21"/>
          <w:szCs w:val="21"/>
          <w:lang w:val="en-US" w:eastAsia="zh-CN"/>
        </w:rPr>
        <w:t xml:space="preserve"> </w:t>
      </w:r>
      <w:r>
        <w:rPr>
          <w:rFonts w:hint="eastAsia" w:hAnsi="Times New Roman" w:eastAsia="宋体" w:cs="Times New Roman"/>
          <w:sz w:val="21"/>
          <w:szCs w:val="21"/>
        </w:rPr>
        <w:t>2032，3.</w:t>
      </w:r>
      <w:r>
        <w:rPr>
          <w:rFonts w:hint="eastAsia" w:hAnsi="Times New Roman" w:eastAsia="宋体" w:cs="Times New Roman"/>
          <w:sz w:val="21"/>
          <w:szCs w:val="21"/>
          <w:lang w:val="en-US" w:eastAsia="zh-CN"/>
        </w:rPr>
        <w:t>4</w:t>
      </w:r>
      <w:r>
        <w:rPr>
          <w:rFonts w:hint="eastAsia" w:hAnsi="Times New Roman" w:eastAsia="宋体" w:cs="Times New Roman"/>
          <w:sz w:val="21"/>
          <w:szCs w:val="21"/>
        </w:rPr>
        <w:t>]</w:t>
      </w:r>
    </w:p>
    <w:p>
      <w:pPr>
        <w:pStyle w:val="29"/>
        <w:spacing w:before="156" w:beforeLines="50" w:after="156" w:afterLines="50"/>
        <w:ind w:firstLine="0" w:firstLineChars="0"/>
        <w:outlineLvl w:val="9"/>
        <w:rPr>
          <w:rFonts w:hint="eastAsia" w:ascii="黑体" w:hAnsi="黑体" w:eastAsia="黑体" w:cs="黑体"/>
          <w:sz w:val="21"/>
          <w:szCs w:val="21"/>
          <w:lang w:val="en-US" w:eastAsia="zh-CN"/>
        </w:rPr>
      </w:pPr>
      <w:r>
        <w:rPr>
          <w:rFonts w:hint="eastAsia" w:ascii="黑体" w:hAnsi="黑体" w:eastAsia="黑体" w:cs="黑体"/>
          <w:sz w:val="21"/>
          <w:szCs w:val="21"/>
        </w:rPr>
        <w:t>3.</w:t>
      </w:r>
      <w:r>
        <w:rPr>
          <w:rFonts w:hint="eastAsia" w:ascii="黑体" w:hAnsi="黑体" w:eastAsia="黑体" w:cs="黑体"/>
          <w:sz w:val="21"/>
          <w:szCs w:val="21"/>
          <w:lang w:val="en-US" w:eastAsia="zh-CN"/>
        </w:rPr>
        <w:t>3</w:t>
      </w:r>
    </w:p>
    <w:p>
      <w:pPr>
        <w:pStyle w:val="29"/>
        <w:spacing w:before="156" w:beforeLines="50" w:after="156" w:afterLines="50"/>
        <w:ind w:firstLine="420" w:firstLineChars="200"/>
        <w:outlineLvl w:val="9"/>
        <w:rPr>
          <w:rFonts w:hint="eastAsia" w:ascii="黑体" w:hAnsi="黑体" w:eastAsia="黑体" w:cs="黑体"/>
          <w:color w:val="auto"/>
          <w:sz w:val="21"/>
          <w:szCs w:val="21"/>
        </w:rPr>
      </w:pPr>
      <w:r>
        <w:rPr>
          <w:rFonts w:hint="eastAsia" w:ascii="黑体" w:hAnsi="黑体" w:eastAsia="黑体" w:cs="黑体"/>
          <w:color w:val="auto"/>
          <w:sz w:val="21"/>
          <w:szCs w:val="21"/>
          <w:lang w:val="en-US" w:eastAsia="zh-CN"/>
        </w:rPr>
        <w:t>识别卡</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auto"/>
          <w:sz w:val="21"/>
          <w:szCs w:val="21"/>
          <w:lang w:val="en-US" w:eastAsia="zh-CN"/>
        </w:rPr>
      </w:pPr>
      <w:r>
        <w:rPr>
          <w:rFonts w:hint="eastAsia" w:hAnsi="Times New Roman" w:eastAsia="宋体" w:cs="Times New Roman"/>
          <w:color w:val="auto"/>
          <w:sz w:val="21"/>
          <w:szCs w:val="21"/>
          <w:lang w:val="en-US" w:eastAsia="zh-CN"/>
        </w:rPr>
        <w:t>由下井人员随身携带、保存有约定格式电子数据的卡片。</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auto"/>
          <w:sz w:val="21"/>
          <w:szCs w:val="21"/>
          <w:lang w:val="en-US" w:eastAsia="zh-CN"/>
        </w:rPr>
      </w:pPr>
      <w:r>
        <w:rPr>
          <w:rFonts w:hint="eastAsia" w:hAnsi="Times New Roman" w:eastAsia="宋体" w:cs="Times New Roman"/>
          <w:sz w:val="21"/>
          <w:szCs w:val="21"/>
        </w:rPr>
        <w:t>[</w:t>
      </w:r>
      <w:r>
        <w:rPr>
          <w:rFonts w:hint="eastAsia" w:hAnsi="Times New Roman" w:eastAsia="宋体" w:cs="Times New Roman"/>
          <w:sz w:val="21"/>
          <w:szCs w:val="21"/>
          <w:lang w:val="en-US" w:eastAsia="zh-CN"/>
        </w:rPr>
        <w:t>来源：</w:t>
      </w:r>
      <w:r>
        <w:rPr>
          <w:rFonts w:hint="eastAsia" w:hAnsi="Times New Roman" w:eastAsia="宋体" w:cs="Times New Roman"/>
          <w:sz w:val="21"/>
          <w:szCs w:val="21"/>
        </w:rPr>
        <w:t>AQ</w:t>
      </w:r>
      <w:r>
        <w:rPr>
          <w:rFonts w:hint="eastAsia" w:hAnsi="Times New Roman" w:eastAsia="宋体" w:cs="Times New Roman"/>
          <w:sz w:val="21"/>
          <w:szCs w:val="21"/>
          <w:lang w:val="en-US" w:eastAsia="zh-CN"/>
        </w:rPr>
        <w:t xml:space="preserve"> </w:t>
      </w:r>
      <w:r>
        <w:rPr>
          <w:rFonts w:hint="eastAsia" w:hAnsi="Times New Roman" w:eastAsia="宋体" w:cs="Times New Roman"/>
          <w:sz w:val="21"/>
          <w:szCs w:val="21"/>
        </w:rPr>
        <w:t>2032，3.</w:t>
      </w:r>
      <w:r>
        <w:rPr>
          <w:rFonts w:hint="eastAsia" w:hAnsi="Times New Roman" w:eastAsia="宋体" w:cs="Times New Roman"/>
          <w:sz w:val="21"/>
          <w:szCs w:val="21"/>
          <w:lang w:val="en-US" w:eastAsia="zh-CN"/>
        </w:rPr>
        <w:t>5</w:t>
      </w:r>
      <w:r>
        <w:rPr>
          <w:rFonts w:hint="eastAsia" w:hAnsi="Times New Roman" w:eastAsia="宋体" w:cs="Times New Roman"/>
          <w:sz w:val="21"/>
          <w:szCs w:val="21"/>
        </w:rPr>
        <w:t>]</w:t>
      </w:r>
    </w:p>
    <w:p>
      <w:pPr>
        <w:pStyle w:val="29"/>
        <w:spacing w:before="156" w:beforeLines="50" w:after="156" w:afterLines="50"/>
        <w:ind w:firstLine="0" w:firstLineChars="0"/>
        <w:outlineLvl w:val="9"/>
        <w:rPr>
          <w:rFonts w:hint="eastAsia" w:ascii="黑体" w:hAnsi="黑体" w:eastAsia="黑体" w:cs="黑体"/>
          <w:sz w:val="21"/>
          <w:szCs w:val="21"/>
          <w:lang w:eastAsia="zh-CN"/>
        </w:rPr>
      </w:pPr>
      <w:r>
        <w:rPr>
          <w:rFonts w:hint="eastAsia" w:ascii="黑体" w:hAnsi="黑体" w:eastAsia="黑体" w:cs="黑体"/>
          <w:sz w:val="21"/>
          <w:szCs w:val="21"/>
        </w:rPr>
        <w:t>3.</w:t>
      </w:r>
      <w:r>
        <w:rPr>
          <w:rFonts w:hint="eastAsia" w:ascii="黑体" w:hAnsi="黑体" w:eastAsia="黑体" w:cs="黑体"/>
          <w:sz w:val="21"/>
          <w:szCs w:val="21"/>
          <w:lang w:val="en-US" w:eastAsia="zh-CN"/>
        </w:rPr>
        <w:t>4</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精准定位</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auto"/>
          <w:sz w:val="21"/>
          <w:szCs w:val="21"/>
          <w:lang w:val="en-US" w:eastAsia="zh-CN"/>
        </w:rPr>
      </w:pPr>
      <w:r>
        <w:rPr>
          <w:rFonts w:hint="eastAsia" w:cs="Times New Roman"/>
          <w:color w:val="auto"/>
          <w:sz w:val="21"/>
          <w:szCs w:val="21"/>
          <w:lang w:val="en-US" w:eastAsia="zh-CN"/>
        </w:rPr>
        <w:t>通过UWB技术</w:t>
      </w:r>
      <w:r>
        <w:rPr>
          <w:rFonts w:hint="eastAsia" w:hAnsi="Times New Roman" w:eastAsia="宋体" w:cs="Times New Roman"/>
          <w:color w:val="auto"/>
          <w:sz w:val="21"/>
          <w:szCs w:val="21"/>
          <w:lang w:val="en-US" w:eastAsia="zh-CN"/>
        </w:rPr>
        <w:t>实现厘米级定位。</w:t>
      </w:r>
    </w:p>
    <w:p>
      <w:pPr>
        <w:pStyle w:val="29"/>
        <w:spacing w:before="156" w:beforeLines="50" w:after="156" w:afterLines="50"/>
        <w:ind w:firstLine="0" w:firstLineChars="0"/>
        <w:outlineLvl w:val="9"/>
        <w:rPr>
          <w:rFonts w:hint="eastAsia" w:ascii="黑体" w:hAnsi="黑体" w:eastAsia="黑体" w:cs="黑体"/>
          <w:color w:val="auto"/>
          <w:sz w:val="21"/>
          <w:szCs w:val="21"/>
          <w:lang w:eastAsia="zh-CN"/>
        </w:rPr>
      </w:pPr>
      <w:r>
        <w:rPr>
          <w:rFonts w:hint="eastAsia" w:ascii="黑体" w:hAnsi="黑体" w:eastAsia="黑体" w:cs="黑体"/>
          <w:color w:val="auto"/>
          <w:sz w:val="21"/>
          <w:szCs w:val="21"/>
        </w:rPr>
        <w:t>3.</w:t>
      </w:r>
      <w:r>
        <w:rPr>
          <w:rFonts w:hint="eastAsia" w:ascii="黑体" w:hAnsi="黑体" w:eastAsia="黑体" w:cs="黑体"/>
          <w:color w:val="auto"/>
          <w:sz w:val="21"/>
          <w:szCs w:val="21"/>
          <w:lang w:val="en-US" w:eastAsia="zh-CN"/>
        </w:rPr>
        <w:t>5</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静态定位误差</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auto"/>
          <w:sz w:val="21"/>
          <w:szCs w:val="21"/>
          <w:lang w:val="en-US" w:eastAsia="zh-CN"/>
        </w:rPr>
      </w:pPr>
      <w:r>
        <w:rPr>
          <w:rFonts w:hint="eastAsia" w:hAnsi="Times New Roman" w:eastAsia="宋体" w:cs="Times New Roman"/>
          <w:color w:val="auto"/>
          <w:sz w:val="21"/>
          <w:szCs w:val="21"/>
          <w:lang w:val="en-US" w:eastAsia="zh-CN"/>
        </w:rPr>
        <w:t>识别卡处于静止状态时，系统测定的识别卡位置与识别卡实际位置的</w:t>
      </w:r>
      <w:r>
        <w:rPr>
          <w:rFonts w:hint="eastAsia" w:cs="Times New Roman"/>
          <w:color w:val="auto"/>
          <w:sz w:val="21"/>
          <w:szCs w:val="21"/>
          <w:lang w:val="en-US" w:eastAsia="zh-CN"/>
        </w:rPr>
        <w:t>误</w:t>
      </w:r>
      <w:r>
        <w:rPr>
          <w:rFonts w:hint="eastAsia" w:hAnsi="Times New Roman" w:eastAsia="宋体" w:cs="Times New Roman"/>
          <w:color w:val="auto"/>
          <w:sz w:val="21"/>
          <w:szCs w:val="21"/>
          <w:lang w:val="en-US" w:eastAsia="zh-CN"/>
        </w:rPr>
        <w:t>差。</w:t>
      </w:r>
    </w:p>
    <w:p>
      <w:pPr>
        <w:pStyle w:val="29"/>
        <w:spacing w:before="156" w:beforeLines="50" w:after="156" w:afterLines="50"/>
        <w:ind w:firstLine="0" w:firstLineChars="0"/>
        <w:outlineLvl w:val="9"/>
        <w:rPr>
          <w:rFonts w:hint="eastAsia" w:ascii="黑体" w:hAnsi="黑体" w:eastAsia="黑体" w:cs="黑体"/>
          <w:color w:val="auto"/>
          <w:sz w:val="21"/>
          <w:szCs w:val="21"/>
          <w:lang w:eastAsia="zh-CN"/>
        </w:rPr>
      </w:pPr>
      <w:r>
        <w:rPr>
          <w:rFonts w:hint="eastAsia" w:ascii="黑体" w:hAnsi="黑体" w:eastAsia="黑体" w:cs="黑体"/>
          <w:color w:val="auto"/>
          <w:sz w:val="21"/>
          <w:szCs w:val="21"/>
        </w:rPr>
        <w:t>3.</w:t>
      </w:r>
      <w:r>
        <w:rPr>
          <w:rFonts w:hint="eastAsia" w:ascii="黑体" w:hAnsi="黑体" w:eastAsia="黑体" w:cs="黑体"/>
          <w:color w:val="auto"/>
          <w:sz w:val="21"/>
          <w:szCs w:val="21"/>
          <w:lang w:val="en-US" w:eastAsia="zh-CN"/>
        </w:rPr>
        <w:t>6</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动态定位误差</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ascii="黑体" w:hAnsi="黑体" w:eastAsia="黑体" w:cs="黑体"/>
          <w:color w:val="auto"/>
          <w:sz w:val="21"/>
          <w:szCs w:val="21"/>
        </w:rPr>
      </w:pPr>
      <w:r>
        <w:rPr>
          <w:rFonts w:hint="eastAsia" w:hAnsi="Times New Roman" w:eastAsia="宋体" w:cs="Times New Roman"/>
          <w:color w:val="auto"/>
          <w:sz w:val="21"/>
          <w:szCs w:val="21"/>
          <w:lang w:val="en-US" w:eastAsia="zh-CN"/>
        </w:rPr>
        <w:t>识别卡处于运动状态时，系统测定的识别卡位置与识别卡实际位置的</w:t>
      </w:r>
      <w:r>
        <w:rPr>
          <w:rFonts w:hint="eastAsia" w:cs="Times New Roman"/>
          <w:color w:val="auto"/>
          <w:sz w:val="21"/>
          <w:szCs w:val="21"/>
          <w:lang w:val="en-US" w:eastAsia="zh-CN"/>
        </w:rPr>
        <w:t>误</w:t>
      </w:r>
      <w:r>
        <w:rPr>
          <w:rFonts w:hint="eastAsia" w:hAnsi="Times New Roman" w:eastAsia="宋体" w:cs="Times New Roman"/>
          <w:color w:val="auto"/>
          <w:sz w:val="21"/>
          <w:szCs w:val="21"/>
          <w:lang w:val="en-US" w:eastAsia="zh-CN"/>
        </w:rPr>
        <w:t>差。</w:t>
      </w:r>
    </w:p>
    <w:p>
      <w:pPr>
        <w:pStyle w:val="29"/>
        <w:spacing w:before="156" w:beforeLines="50" w:after="156" w:afterLines="50"/>
        <w:ind w:firstLine="0" w:firstLineChars="0"/>
        <w:outlineLvl w:val="9"/>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rPr>
        <w:t>3.</w:t>
      </w:r>
      <w:r>
        <w:rPr>
          <w:rFonts w:hint="eastAsia" w:ascii="黑体" w:hAnsi="黑体" w:eastAsia="黑体" w:cs="黑体"/>
          <w:color w:val="auto"/>
          <w:sz w:val="21"/>
          <w:szCs w:val="21"/>
          <w:lang w:val="en-US" w:eastAsia="zh-CN"/>
        </w:rPr>
        <w:t>7</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识别区域</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auto"/>
          <w:sz w:val="21"/>
          <w:szCs w:val="21"/>
          <w:lang w:val="en-US" w:eastAsia="zh-CN"/>
        </w:rPr>
      </w:pPr>
      <w:r>
        <w:rPr>
          <w:rFonts w:hint="eastAsia" w:hAnsi="Times New Roman" w:eastAsia="宋体" w:cs="Times New Roman"/>
          <w:color w:val="auto"/>
          <w:sz w:val="21"/>
          <w:szCs w:val="21"/>
          <w:lang w:val="en-US" w:eastAsia="zh-CN"/>
        </w:rPr>
        <w:t>系统能正确识别携卡人员所携带识别卡的无线覆盖区域。</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auto"/>
          <w:sz w:val="21"/>
          <w:szCs w:val="21"/>
          <w:lang w:val="en-US" w:eastAsia="zh-CN"/>
        </w:rPr>
      </w:pPr>
      <w:r>
        <w:rPr>
          <w:rFonts w:hint="eastAsia" w:hAnsi="Times New Roman" w:eastAsia="宋体" w:cs="Times New Roman"/>
          <w:color w:val="auto"/>
          <w:sz w:val="21"/>
          <w:szCs w:val="21"/>
        </w:rPr>
        <w:t>[</w:t>
      </w:r>
      <w:r>
        <w:rPr>
          <w:rFonts w:hint="eastAsia" w:hAnsi="Times New Roman" w:eastAsia="宋体" w:cs="Times New Roman"/>
          <w:color w:val="auto"/>
          <w:sz w:val="21"/>
          <w:szCs w:val="21"/>
          <w:lang w:val="en-US" w:eastAsia="zh-CN"/>
        </w:rPr>
        <w:t>来源：</w:t>
      </w:r>
      <w:r>
        <w:rPr>
          <w:rFonts w:hint="eastAsia" w:hAnsi="Times New Roman" w:eastAsia="宋体" w:cs="Times New Roman"/>
          <w:color w:val="auto"/>
          <w:sz w:val="21"/>
          <w:szCs w:val="21"/>
        </w:rPr>
        <w:t>AQ</w:t>
      </w:r>
      <w:r>
        <w:rPr>
          <w:rFonts w:hint="eastAsia" w:hAnsi="Times New Roman" w:eastAsia="宋体" w:cs="Times New Roman"/>
          <w:color w:val="auto"/>
          <w:sz w:val="21"/>
          <w:szCs w:val="21"/>
          <w:lang w:val="en-US" w:eastAsia="zh-CN"/>
        </w:rPr>
        <w:t xml:space="preserve"> </w:t>
      </w:r>
      <w:r>
        <w:rPr>
          <w:rFonts w:hint="eastAsia" w:hAnsi="Times New Roman" w:eastAsia="宋体" w:cs="Times New Roman"/>
          <w:color w:val="auto"/>
          <w:sz w:val="21"/>
          <w:szCs w:val="21"/>
        </w:rPr>
        <w:t>2032，3.</w:t>
      </w:r>
      <w:r>
        <w:rPr>
          <w:rFonts w:hint="eastAsia" w:hAnsi="Times New Roman" w:eastAsia="宋体" w:cs="Times New Roman"/>
          <w:color w:val="auto"/>
          <w:sz w:val="21"/>
          <w:szCs w:val="21"/>
          <w:lang w:val="en-US" w:eastAsia="zh-CN"/>
        </w:rPr>
        <w:t>7</w:t>
      </w:r>
      <w:r>
        <w:rPr>
          <w:rFonts w:hint="eastAsia" w:hAnsi="Times New Roman" w:eastAsia="宋体" w:cs="Times New Roman"/>
          <w:color w:val="auto"/>
          <w:sz w:val="21"/>
          <w:szCs w:val="21"/>
        </w:rPr>
        <w:t>]</w:t>
      </w:r>
    </w:p>
    <w:p>
      <w:pPr>
        <w:pStyle w:val="29"/>
        <w:spacing w:before="156" w:beforeLines="50" w:after="156" w:afterLines="50"/>
        <w:ind w:firstLine="0" w:firstLineChars="0"/>
        <w:outlineLvl w:val="9"/>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rPr>
        <w:t>3.</w:t>
      </w:r>
      <w:r>
        <w:rPr>
          <w:rFonts w:hint="eastAsia" w:ascii="黑体" w:hAnsi="黑体" w:eastAsia="黑体" w:cs="黑体"/>
          <w:color w:val="auto"/>
          <w:sz w:val="21"/>
          <w:szCs w:val="21"/>
          <w:lang w:val="en-US" w:eastAsia="zh-CN"/>
        </w:rPr>
        <w:t>8</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限制区域</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auto"/>
          <w:sz w:val="21"/>
          <w:szCs w:val="21"/>
          <w:lang w:val="en-US" w:eastAsia="zh-CN"/>
        </w:rPr>
      </w:pPr>
      <w:r>
        <w:rPr>
          <w:rFonts w:hint="eastAsia" w:hAnsi="Times New Roman" w:eastAsia="宋体" w:cs="Times New Roman"/>
          <w:color w:val="auto"/>
          <w:sz w:val="21"/>
          <w:szCs w:val="21"/>
          <w:lang w:val="en-US" w:eastAsia="zh-CN"/>
        </w:rPr>
        <w:t>井下采空区、废弃井巷等不允许人员进入的区域。</w:t>
      </w:r>
    </w:p>
    <w:p>
      <w:pPr>
        <w:pStyle w:val="29"/>
        <w:spacing w:before="156" w:beforeLines="50" w:after="156" w:afterLines="50"/>
        <w:ind w:firstLine="0" w:firstLineChars="0"/>
        <w:outlineLvl w:val="9"/>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rPr>
        <w:t>3.</w:t>
      </w:r>
      <w:r>
        <w:rPr>
          <w:rFonts w:hint="eastAsia" w:ascii="黑体" w:hAnsi="黑体" w:eastAsia="黑体" w:cs="黑体"/>
          <w:color w:val="auto"/>
          <w:sz w:val="21"/>
          <w:szCs w:val="21"/>
          <w:lang w:val="en-US" w:eastAsia="zh-CN"/>
        </w:rPr>
        <w:t>9</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有效识别距离L</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default" w:hAnsi="Times New Roman" w:eastAsia="宋体" w:cs="Times New Roman"/>
          <w:color w:val="auto"/>
          <w:sz w:val="21"/>
          <w:szCs w:val="21"/>
          <w:lang w:val="en-US" w:eastAsia="zh-CN"/>
        </w:rPr>
      </w:pPr>
      <w:r>
        <w:rPr>
          <w:rFonts w:hint="eastAsia" w:hAnsi="Times New Roman" w:eastAsia="宋体" w:cs="Times New Roman"/>
          <w:color w:val="auto"/>
          <w:sz w:val="21"/>
          <w:szCs w:val="21"/>
          <w:lang w:val="en-US" w:eastAsia="zh-CN"/>
        </w:rPr>
        <w:t>井下识别卡能被分站正确识别的最远距离。</w:t>
      </w:r>
    </w:p>
    <w:p>
      <w:pPr>
        <w:spacing w:before="312" w:beforeLines="100" w:after="312" w:afterLines="100"/>
        <w:outlineLvl w:val="0"/>
        <w:rPr>
          <w:rFonts w:hint="eastAsia" w:ascii="黑体" w:hAnsi="黑体" w:eastAsia="黑体" w:cs="Times New Roman"/>
          <w:szCs w:val="21"/>
        </w:rPr>
      </w:pPr>
      <w:bookmarkStart w:id="12" w:name="_Toc17839"/>
      <w:r>
        <w:rPr>
          <w:rFonts w:hint="eastAsia" w:ascii="黑体" w:hAnsi="黑体" w:eastAsia="黑体" w:cs="Times New Roman"/>
          <w:szCs w:val="21"/>
        </w:rPr>
        <w:t xml:space="preserve">4 </w:t>
      </w:r>
      <w:r>
        <w:rPr>
          <w:rFonts w:hint="eastAsia" w:ascii="黑体" w:hAnsi="黑体" w:eastAsia="黑体" w:cs="Times New Roman"/>
          <w:szCs w:val="21"/>
          <w:lang w:val="en-US" w:eastAsia="zh-CN"/>
        </w:rPr>
        <w:t xml:space="preserve"> </w:t>
      </w:r>
      <w:r>
        <w:rPr>
          <w:rFonts w:hint="eastAsia" w:ascii="黑体" w:hAnsi="黑体" w:eastAsia="黑体" w:cs="Times New Roman"/>
          <w:szCs w:val="21"/>
        </w:rPr>
        <w:t>技术要求</w:t>
      </w:r>
      <w:bookmarkEnd w:id="12"/>
    </w:p>
    <w:p>
      <w:pPr>
        <w:pStyle w:val="29"/>
        <w:keepNext w:val="0"/>
        <w:keepLines w:val="0"/>
        <w:pageBreakBefore w:val="0"/>
        <w:widowControl w:val="0"/>
        <w:kinsoku/>
        <w:wordWrap/>
        <w:overflowPunct/>
        <w:topLinePunct w:val="0"/>
        <w:autoSpaceDE w:val="0"/>
        <w:autoSpaceDN w:val="0"/>
        <w:bidi w:val="0"/>
        <w:adjustRightInd/>
        <w:snapToGrid/>
        <w:spacing w:before="156" w:beforeLines="50" w:after="156" w:afterLines="50"/>
        <w:ind w:firstLine="0" w:firstLineChars="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4.1  基本要求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default"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4.1.1 </w:t>
      </w:r>
      <w:r>
        <w:rPr>
          <w:rFonts w:hint="eastAsia" w:hAnsi="Times New Roman" w:eastAsia="宋体" w:cs="Times New Roman"/>
          <w:sz w:val="21"/>
          <w:szCs w:val="21"/>
          <w:lang w:val="en-US" w:eastAsia="zh-CN"/>
        </w:rPr>
        <w:t xml:space="preserve"> 所有金属非金属地下矿山应装备人员精准定位系统，准确掌握井下各个区域作业人员的位置信息。</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4.1.2</w:t>
      </w:r>
      <w:r>
        <w:rPr>
          <w:rFonts w:hint="eastAsia" w:hAnsi="Times New Roman" w:eastAsia="宋体" w:cs="Times New Roman"/>
          <w:sz w:val="21"/>
          <w:szCs w:val="21"/>
          <w:lang w:val="en-US" w:eastAsia="zh-CN"/>
        </w:rPr>
        <w:t xml:space="preserve">  系统除应符合</w:t>
      </w:r>
      <w:r>
        <w:rPr>
          <w:rFonts w:hint="eastAsia" w:ascii="黑体" w:hAnsi="黑体" w:eastAsia="黑体" w:cs="黑体"/>
          <w:sz w:val="21"/>
          <w:szCs w:val="21"/>
          <w:lang w:val="en-US" w:eastAsia="zh-CN"/>
        </w:rPr>
        <w:t xml:space="preserve">GB 16423 </w:t>
      </w:r>
      <w:r>
        <w:rPr>
          <w:rFonts w:hint="eastAsia" w:hAnsi="Times New Roman" w:eastAsia="宋体" w:cs="Times New Roman"/>
          <w:sz w:val="21"/>
          <w:szCs w:val="21"/>
          <w:lang w:val="en-US" w:eastAsia="zh-CN"/>
        </w:rPr>
        <w:t>和</w:t>
      </w:r>
      <w:r>
        <w:rPr>
          <w:rFonts w:hint="eastAsia" w:ascii="黑体" w:hAnsi="黑体" w:eastAsia="黑体" w:cs="黑体"/>
          <w:sz w:val="21"/>
          <w:szCs w:val="21"/>
          <w:lang w:val="en-US" w:eastAsia="zh-CN"/>
        </w:rPr>
        <w:t>AQ 2032</w:t>
      </w:r>
      <w:r>
        <w:rPr>
          <w:rFonts w:hint="eastAsia" w:hAnsi="Times New Roman" w:eastAsia="宋体" w:cs="Times New Roman"/>
          <w:sz w:val="21"/>
          <w:szCs w:val="21"/>
          <w:lang w:val="en-US" w:eastAsia="zh-CN"/>
        </w:rPr>
        <w:t>的规范要求外，还应符合本规范要求。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4.1.3 </w:t>
      </w:r>
      <w:r>
        <w:rPr>
          <w:rFonts w:hint="eastAsia" w:hAnsi="Times New Roman" w:eastAsia="宋体" w:cs="Times New Roman"/>
          <w:color w:val="auto"/>
          <w:sz w:val="21"/>
          <w:szCs w:val="21"/>
          <w:lang w:val="en-US" w:eastAsia="zh-CN"/>
        </w:rPr>
        <w:t xml:space="preserve"> 系统应取得矿用产品安全标志。</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4.1.4 </w:t>
      </w:r>
      <w:r>
        <w:rPr>
          <w:rFonts w:hint="eastAsia" w:hAnsi="Times New Roman" w:eastAsia="宋体" w:cs="Times New Roman"/>
          <w:sz w:val="21"/>
          <w:szCs w:val="21"/>
          <w:lang w:val="en-US" w:eastAsia="zh-CN"/>
        </w:rPr>
        <w:t xml:space="preserve"> 系统中设备的外壳应表面光洁平滑，无凹痕、裂痕和变形；金属零部件不应有锈蚀和其他机械损伤；零部件应紧固无松动。</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4.1.5</w:t>
      </w:r>
      <w:r>
        <w:rPr>
          <w:rFonts w:hint="eastAsia" w:hAnsi="Times New Roman" w:eastAsia="宋体" w:cs="Times New Roman"/>
          <w:sz w:val="21"/>
          <w:szCs w:val="21"/>
          <w:lang w:val="en-US" w:eastAsia="zh-CN"/>
        </w:rPr>
        <w:t xml:space="preserve">  </w:t>
      </w:r>
      <w:r>
        <w:rPr>
          <w:rFonts w:hint="eastAsia" w:hAnsi="Times New Roman" w:eastAsia="宋体" w:cs="Times New Roman"/>
          <w:b w:val="0"/>
          <w:bCs w:val="0"/>
          <w:color w:val="auto"/>
          <w:sz w:val="21"/>
          <w:szCs w:val="21"/>
          <w:lang w:val="en-US" w:eastAsia="zh-CN"/>
        </w:rPr>
        <w:t>系统的主机所在建筑及供电、信息传输系统应</w:t>
      </w:r>
      <w:r>
        <w:rPr>
          <w:rFonts w:hint="eastAsia" w:cs="Times New Roman"/>
          <w:b w:val="0"/>
          <w:bCs w:val="0"/>
          <w:color w:val="auto"/>
          <w:sz w:val="21"/>
          <w:szCs w:val="21"/>
          <w:lang w:val="en-US" w:eastAsia="zh-CN"/>
        </w:rPr>
        <w:t>符合</w:t>
      </w:r>
      <w:r>
        <w:rPr>
          <w:rFonts w:hint="eastAsia" w:ascii="黑体" w:hAnsi="黑体" w:eastAsia="黑体" w:cs="黑体"/>
          <w:b w:val="0"/>
          <w:bCs w:val="0"/>
          <w:color w:val="auto"/>
          <w:sz w:val="21"/>
          <w:szCs w:val="21"/>
          <w:lang w:val="en-US" w:eastAsia="zh-CN"/>
        </w:rPr>
        <w:t>GB50057、GB16423</w:t>
      </w:r>
      <w:r>
        <w:rPr>
          <w:rFonts w:hint="eastAsia" w:hAnsi="Times New Roman" w:eastAsia="宋体" w:cs="Times New Roman"/>
          <w:b w:val="0"/>
          <w:bCs w:val="0"/>
          <w:color w:val="auto"/>
          <w:sz w:val="21"/>
          <w:szCs w:val="21"/>
          <w:lang w:val="en-US" w:eastAsia="zh-CN"/>
        </w:rPr>
        <w:t>中规定的防雷</w:t>
      </w:r>
      <w:r>
        <w:rPr>
          <w:rFonts w:hint="eastAsia" w:cs="Times New Roman"/>
          <w:b w:val="0"/>
          <w:bCs w:val="0"/>
          <w:color w:val="auto"/>
          <w:sz w:val="21"/>
          <w:szCs w:val="21"/>
          <w:lang w:val="en-US" w:eastAsia="zh-CN"/>
        </w:rPr>
        <w:t>措施</w:t>
      </w:r>
      <w:r>
        <w:rPr>
          <w:rFonts w:hint="eastAsia" w:hAnsi="Times New Roman" w:eastAsia="宋体" w:cs="Times New Roman"/>
          <w:b w:val="0"/>
          <w:bCs w:val="0"/>
          <w:color w:val="auto"/>
          <w:sz w:val="21"/>
          <w:szCs w:val="21"/>
          <w:lang w:val="en-US" w:eastAsia="zh-CN"/>
        </w:rPr>
        <w:t>。</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4.1.6</w:t>
      </w:r>
      <w:r>
        <w:rPr>
          <w:rFonts w:hint="eastAsia" w:hAnsi="Times New Roman" w:eastAsia="宋体" w:cs="Times New Roman"/>
          <w:color w:val="auto"/>
          <w:sz w:val="21"/>
          <w:szCs w:val="21"/>
          <w:lang w:val="en-US" w:eastAsia="zh-CN"/>
        </w:rPr>
        <w:t xml:space="preserve">  所有入井人员应正确佩戴识别卡。</w:t>
      </w:r>
    </w:p>
    <w:p>
      <w:pPr>
        <w:pStyle w:val="29"/>
        <w:keepNext w:val="0"/>
        <w:keepLines w:val="0"/>
        <w:pageBreakBefore w:val="0"/>
        <w:widowControl w:val="0"/>
        <w:kinsoku/>
        <w:wordWrap/>
        <w:overflowPunct/>
        <w:topLinePunct w:val="0"/>
        <w:autoSpaceDE w:val="0"/>
        <w:autoSpaceDN w:val="0"/>
        <w:bidi w:val="0"/>
        <w:adjustRightInd/>
        <w:snapToGrid/>
        <w:spacing w:before="156" w:beforeLines="50" w:after="156" w:afterLines="50"/>
        <w:ind w:firstLine="0" w:firstLineChars="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4.2  联网要求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4.2.1</w:t>
      </w:r>
      <w:r>
        <w:rPr>
          <w:rFonts w:hint="eastAsia" w:hAnsi="Times New Roman" w:eastAsia="宋体" w:cs="Times New Roman"/>
          <w:color w:val="auto"/>
          <w:sz w:val="21"/>
          <w:szCs w:val="21"/>
          <w:lang w:val="en-US" w:eastAsia="zh-CN"/>
        </w:rPr>
        <w:t xml:space="preserve">  系统应支持联网，实现与安全生产风险监测预警系统政府端联网。</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4.2.2</w:t>
      </w:r>
      <w:r>
        <w:rPr>
          <w:rFonts w:hint="eastAsia" w:hAnsi="Times New Roman" w:eastAsia="宋体" w:cs="Times New Roman"/>
          <w:color w:val="auto"/>
          <w:sz w:val="21"/>
          <w:szCs w:val="21"/>
          <w:lang w:val="en-US" w:eastAsia="zh-CN"/>
        </w:rPr>
        <w:t xml:space="preserve">  系统应向安全生产风险监测预警系统政府端提供通信接口，实时上传</w:t>
      </w:r>
      <w:r>
        <w:rPr>
          <w:rFonts w:hint="eastAsia" w:cs="Times New Roman"/>
          <w:color w:val="auto"/>
          <w:sz w:val="21"/>
          <w:szCs w:val="21"/>
          <w:lang w:val="en-US" w:eastAsia="zh-CN"/>
        </w:rPr>
        <w:t>政府端</w:t>
      </w:r>
      <w:r>
        <w:rPr>
          <w:rFonts w:hint="eastAsia" w:hAnsi="Times New Roman" w:eastAsia="宋体" w:cs="Times New Roman"/>
          <w:color w:val="auto"/>
          <w:sz w:val="21"/>
          <w:szCs w:val="21"/>
          <w:lang w:val="en-US" w:eastAsia="zh-CN"/>
        </w:rPr>
        <w:t>所需数据信息。</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4.2.3</w:t>
      </w:r>
      <w:r>
        <w:rPr>
          <w:rFonts w:hint="eastAsia" w:hAnsi="Times New Roman" w:eastAsia="宋体" w:cs="Times New Roman"/>
          <w:color w:val="auto"/>
          <w:sz w:val="21"/>
          <w:szCs w:val="21"/>
          <w:lang w:val="en-US" w:eastAsia="zh-CN"/>
        </w:rPr>
        <w:t xml:space="preserve">  系统应支持远程浏览器异</w:t>
      </w:r>
      <w:r>
        <w:rPr>
          <w:rFonts w:hint="eastAsia" w:cs="Times New Roman"/>
          <w:color w:val="auto"/>
          <w:sz w:val="21"/>
          <w:szCs w:val="21"/>
          <w:lang w:val="en-US" w:eastAsia="zh-CN"/>
        </w:rPr>
        <w:t>地</w:t>
      </w:r>
      <w:r>
        <w:rPr>
          <w:rFonts w:hint="eastAsia" w:hAnsi="Times New Roman" w:eastAsia="宋体" w:cs="Times New Roman"/>
          <w:color w:val="auto"/>
          <w:sz w:val="21"/>
          <w:szCs w:val="21"/>
          <w:lang w:val="en-US" w:eastAsia="zh-CN"/>
        </w:rPr>
        <w:t>登录，通过互联网远程可进入系统。</w:t>
      </w:r>
    </w:p>
    <w:p>
      <w:pPr>
        <w:pStyle w:val="29"/>
        <w:keepNext w:val="0"/>
        <w:keepLines w:val="0"/>
        <w:pageBreakBefore w:val="0"/>
        <w:widowControl w:val="0"/>
        <w:kinsoku/>
        <w:wordWrap/>
        <w:overflowPunct/>
        <w:topLinePunct w:val="0"/>
        <w:autoSpaceDE w:val="0"/>
        <w:autoSpaceDN w:val="0"/>
        <w:bidi w:val="0"/>
        <w:adjustRightInd/>
        <w:snapToGrid/>
        <w:spacing w:before="156" w:beforeLines="50" w:after="156" w:afterLines="50"/>
        <w:ind w:firstLine="0" w:firstLineChars="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4.3  软件要求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4.3.1</w:t>
      </w:r>
      <w:r>
        <w:rPr>
          <w:rFonts w:hint="eastAsia" w:hAnsi="Times New Roman" w:eastAsia="宋体" w:cs="Times New Roman"/>
          <w:color w:val="auto"/>
          <w:sz w:val="21"/>
          <w:szCs w:val="21"/>
          <w:lang w:val="en-US" w:eastAsia="zh-CN"/>
        </w:rPr>
        <w:t xml:space="preserve">  系统软件应使用实测图纸，</w:t>
      </w:r>
      <w:r>
        <w:rPr>
          <w:rFonts w:hint="eastAsia" w:cs="Times New Roman"/>
          <w:color w:val="auto"/>
          <w:sz w:val="21"/>
          <w:szCs w:val="21"/>
          <w:lang w:val="en-US" w:eastAsia="zh-CN"/>
        </w:rPr>
        <w:t>应</w:t>
      </w:r>
      <w:r>
        <w:rPr>
          <w:rFonts w:hint="eastAsia" w:hAnsi="Times New Roman" w:eastAsia="宋体" w:cs="Times New Roman"/>
          <w:color w:val="auto"/>
          <w:sz w:val="21"/>
          <w:szCs w:val="21"/>
          <w:lang w:val="en-US" w:eastAsia="zh-CN"/>
        </w:rPr>
        <w:t>显示井下人员</w:t>
      </w:r>
      <w:r>
        <w:rPr>
          <w:rFonts w:hint="eastAsia" w:cs="Times New Roman"/>
          <w:color w:val="auto"/>
          <w:sz w:val="21"/>
          <w:szCs w:val="21"/>
          <w:lang w:val="en-US" w:eastAsia="zh-CN"/>
        </w:rPr>
        <w:t>数量、</w:t>
      </w:r>
      <w:r>
        <w:rPr>
          <w:rFonts w:hint="eastAsia" w:hAnsi="Times New Roman" w:eastAsia="宋体" w:cs="Times New Roman"/>
          <w:color w:val="auto"/>
          <w:sz w:val="21"/>
          <w:szCs w:val="21"/>
          <w:lang w:val="en-US" w:eastAsia="zh-CN"/>
        </w:rPr>
        <w:t>位置</w:t>
      </w:r>
      <w:r>
        <w:rPr>
          <w:rFonts w:hint="eastAsia" w:cs="Times New Roman"/>
          <w:color w:val="auto"/>
          <w:sz w:val="21"/>
          <w:szCs w:val="21"/>
          <w:lang w:val="en-US" w:eastAsia="zh-CN"/>
        </w:rPr>
        <w:t>及历史轨迹等信息</w:t>
      </w:r>
      <w:r>
        <w:rPr>
          <w:rFonts w:hint="eastAsia" w:hAnsi="Times New Roman" w:eastAsia="宋体" w:cs="Times New Roman"/>
          <w:color w:val="auto"/>
          <w:sz w:val="21"/>
          <w:szCs w:val="21"/>
          <w:lang w:val="en-US" w:eastAsia="zh-CN"/>
        </w:rPr>
        <w:t>。</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4.3.2  </w:t>
      </w:r>
      <w:r>
        <w:rPr>
          <w:rFonts w:hint="eastAsia" w:hAnsi="Times New Roman" w:eastAsia="宋体" w:cs="Times New Roman"/>
          <w:color w:val="auto"/>
          <w:sz w:val="21"/>
          <w:szCs w:val="21"/>
          <w:lang w:val="en-US" w:eastAsia="zh-CN"/>
        </w:rPr>
        <w:t>系统软件应实现展示功能，实时展示井下各中段、分段人员精准位置信息，并能倍速播放人员运动轨迹。</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4.3.3  </w:t>
      </w:r>
      <w:r>
        <w:rPr>
          <w:rFonts w:hint="eastAsia" w:hAnsi="Times New Roman" w:eastAsia="宋体" w:cs="Times New Roman"/>
          <w:sz w:val="21"/>
          <w:szCs w:val="21"/>
          <w:lang w:val="en-US" w:eastAsia="zh-CN"/>
        </w:rPr>
        <w:t>系统软件界面、功能菜单等设计应做到简洁且便于操作，报警界面清晰和准确。</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4.3.4</w:t>
      </w:r>
      <w:r>
        <w:rPr>
          <w:rFonts w:hint="eastAsia" w:hAnsi="Times New Roman" w:eastAsia="宋体" w:cs="Times New Roman"/>
          <w:sz w:val="21"/>
          <w:szCs w:val="21"/>
          <w:lang w:val="en-US" w:eastAsia="zh-CN"/>
        </w:rPr>
        <w:t xml:space="preserve">  系统软件应根据不同用户配置多级权限，功能菜单应裁剪定制，具备较强的易维护性、易集成性和可扩展性。</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4.3.5</w:t>
      </w:r>
      <w:r>
        <w:rPr>
          <w:rFonts w:hint="eastAsia" w:hAnsi="Times New Roman" w:eastAsia="宋体" w:cs="Times New Roman"/>
          <w:sz w:val="21"/>
          <w:szCs w:val="21"/>
          <w:lang w:val="en-US" w:eastAsia="zh-CN"/>
        </w:rPr>
        <w:t xml:space="preserve">  系统软件应具备自诊断、自评估功能，能够实现系统定期的自诊断、自评估。 </w:t>
      </w:r>
    </w:p>
    <w:p>
      <w:pPr>
        <w:pStyle w:val="29"/>
        <w:keepNext w:val="0"/>
        <w:keepLines w:val="0"/>
        <w:pageBreakBefore w:val="0"/>
        <w:widowControl w:val="0"/>
        <w:kinsoku/>
        <w:wordWrap/>
        <w:overflowPunct/>
        <w:topLinePunct w:val="0"/>
        <w:autoSpaceDE w:val="0"/>
        <w:autoSpaceDN w:val="0"/>
        <w:bidi w:val="0"/>
        <w:adjustRightInd/>
        <w:snapToGrid/>
        <w:spacing w:before="156" w:beforeLines="50" w:after="156" w:afterLines="50"/>
        <w:ind w:firstLine="0" w:firstLineChars="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4.4  功能要求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4.4.1</w:t>
      </w:r>
      <w:r>
        <w:rPr>
          <w:rFonts w:hint="eastAsia" w:hAnsi="Times New Roman" w:eastAsia="宋体" w:cs="Times New Roman"/>
          <w:color w:val="auto"/>
          <w:sz w:val="21"/>
          <w:szCs w:val="21"/>
          <w:lang w:val="en-US" w:eastAsia="zh-CN"/>
        </w:rPr>
        <w:t xml:space="preserve">  系统主机及联网主机应当双机热备份，连续运行，当主机发生故障时应将系统的控制功能转移到备机上，并保证系统数据不丢失。</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default"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4.4.2 </w:t>
      </w:r>
      <w:r>
        <w:rPr>
          <w:rFonts w:hint="eastAsia" w:hAnsi="Times New Roman" w:eastAsia="宋体" w:cs="Times New Roman"/>
          <w:color w:val="auto"/>
          <w:sz w:val="21"/>
          <w:szCs w:val="21"/>
          <w:lang w:val="en-US" w:eastAsia="zh-CN"/>
        </w:rPr>
        <w:t xml:space="preserve"> 系统应在有线通信网络</w:t>
      </w:r>
      <w:r>
        <w:rPr>
          <w:rFonts w:hint="eastAsia" w:cs="Times New Roman"/>
          <w:color w:val="auto"/>
          <w:sz w:val="21"/>
          <w:szCs w:val="21"/>
          <w:lang w:val="en-US" w:eastAsia="zh-CN"/>
        </w:rPr>
        <w:t>基础上</w:t>
      </w:r>
      <w:r>
        <w:rPr>
          <w:rFonts w:hint="eastAsia" w:hAnsi="Times New Roman" w:eastAsia="宋体" w:cs="Times New Roman"/>
          <w:color w:val="auto"/>
          <w:sz w:val="21"/>
          <w:szCs w:val="21"/>
          <w:lang w:val="en-US" w:eastAsia="zh-CN"/>
        </w:rPr>
        <w:t>建立无线通信网络，分站宜具有无线网络功能，可通过终端设备应用软件进行视频、语音、文字等方式传递信息。</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4.4.3</w:t>
      </w:r>
      <w:r>
        <w:rPr>
          <w:rFonts w:hint="eastAsia" w:hAnsi="Times New Roman" w:eastAsia="宋体" w:cs="Times New Roman"/>
          <w:color w:val="auto"/>
          <w:sz w:val="21"/>
          <w:szCs w:val="21"/>
          <w:lang w:val="en-US" w:eastAsia="zh-CN"/>
        </w:rPr>
        <w:t xml:space="preserve">  分站有效识别距离应不小于</w:t>
      </w:r>
      <w:r>
        <w:rPr>
          <w:rFonts w:hint="eastAsia" w:cs="Times New Roman"/>
          <w:color w:val="auto"/>
          <w:sz w:val="21"/>
          <w:szCs w:val="21"/>
          <w:lang w:val="en-US" w:eastAsia="zh-CN"/>
        </w:rPr>
        <w:t>2</w:t>
      </w:r>
      <w:r>
        <w:rPr>
          <w:rFonts w:hint="eastAsia" w:hAnsi="Times New Roman" w:eastAsia="宋体" w:cs="Times New Roman"/>
          <w:color w:val="auto"/>
          <w:sz w:val="21"/>
          <w:szCs w:val="21"/>
          <w:lang w:val="en-US" w:eastAsia="zh-CN"/>
        </w:rPr>
        <w:t>00m。</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4.4.4</w:t>
      </w:r>
      <w:r>
        <w:rPr>
          <w:rFonts w:hint="eastAsia" w:hAnsi="Times New Roman" w:eastAsia="宋体" w:cs="Times New Roman"/>
          <w:color w:val="auto"/>
          <w:sz w:val="21"/>
          <w:szCs w:val="21"/>
          <w:lang w:val="en-US" w:eastAsia="zh-CN"/>
        </w:rPr>
        <w:t xml:space="preserve">  入井人员携带的识别卡应包括但不限于从业人员的如下信息：姓名、性别、识别卡号、身份证号码、照片、紧急联系电话、所属部门、工作岗位。</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4.4.5 </w:t>
      </w:r>
      <w:r>
        <w:rPr>
          <w:rFonts w:hint="eastAsia" w:hAnsi="Times New Roman" w:eastAsia="宋体" w:cs="Times New Roman"/>
          <w:color w:val="auto"/>
          <w:sz w:val="21"/>
          <w:szCs w:val="21"/>
          <w:lang w:val="en-US" w:eastAsia="zh-CN"/>
        </w:rPr>
        <w:t xml:space="preserve"> 识别卡采用可充电电池，每次充电</w:t>
      </w:r>
      <w:r>
        <w:rPr>
          <w:rFonts w:hint="eastAsia" w:cs="Times New Roman"/>
          <w:color w:val="auto"/>
          <w:sz w:val="21"/>
          <w:szCs w:val="21"/>
          <w:lang w:val="en-US" w:eastAsia="zh-CN"/>
        </w:rPr>
        <w:t>完成后应</w:t>
      </w:r>
      <w:r>
        <w:rPr>
          <w:rFonts w:hint="eastAsia" w:hAnsi="Times New Roman" w:eastAsia="宋体" w:cs="Times New Roman"/>
          <w:color w:val="auto"/>
          <w:sz w:val="21"/>
          <w:szCs w:val="21"/>
          <w:lang w:val="en-US" w:eastAsia="zh-CN"/>
        </w:rPr>
        <w:t>能保证标识卡连续工作时间不小于10天，电池寿命应不少于24个月</w:t>
      </w:r>
      <w:r>
        <w:rPr>
          <w:rFonts w:hint="eastAsia" w:cs="Times New Roman"/>
          <w:color w:val="auto"/>
          <w:sz w:val="21"/>
          <w:szCs w:val="21"/>
          <w:lang w:val="en-US" w:eastAsia="zh-CN"/>
        </w:rPr>
        <w:t>；</w:t>
      </w:r>
      <w:r>
        <w:rPr>
          <w:rFonts w:hint="eastAsia" w:hAnsi="Times New Roman" w:eastAsia="宋体" w:cs="Times New Roman"/>
          <w:color w:val="auto"/>
          <w:sz w:val="21"/>
          <w:szCs w:val="21"/>
          <w:lang w:val="en-US" w:eastAsia="zh-CN"/>
        </w:rPr>
        <w:t>采用可更换电池的识别卡的电池寿命应不小于6个月</w:t>
      </w:r>
      <w:r>
        <w:rPr>
          <w:rFonts w:hint="eastAsia" w:cs="Times New Roman"/>
          <w:color w:val="auto"/>
          <w:sz w:val="21"/>
          <w:szCs w:val="21"/>
          <w:lang w:val="en-US" w:eastAsia="zh-CN"/>
        </w:rPr>
        <w:t>；采用矿灯一体化的标识卡，在矿灯正常后直到不能正常点灯时，标识卡部分还能继续连续工作时间不小于7天。</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4.4.6 </w:t>
      </w:r>
      <w:r>
        <w:rPr>
          <w:rFonts w:hint="eastAsia" w:hAnsi="Times New Roman" w:eastAsia="宋体" w:cs="Times New Roman"/>
          <w:color w:val="auto"/>
          <w:sz w:val="21"/>
          <w:szCs w:val="21"/>
          <w:lang w:val="en-US" w:eastAsia="zh-CN"/>
        </w:rPr>
        <w:t xml:space="preserve"> 识别卡应坚固耐用，抗静电、阻燃和抗腐蚀，并能防尘、防水、防撞击和震动。识别卡应具备紧急呼救功能，具备呼救按键，</w:t>
      </w:r>
      <w:r>
        <w:rPr>
          <w:rFonts w:hint="eastAsia" w:cs="Times New Roman"/>
          <w:color w:val="auto"/>
          <w:sz w:val="21"/>
          <w:szCs w:val="21"/>
          <w:lang w:val="en-US" w:eastAsia="zh-CN"/>
        </w:rPr>
        <w:t>并应</w:t>
      </w:r>
      <w:r>
        <w:rPr>
          <w:rFonts w:hint="eastAsia" w:hAnsi="Times New Roman" w:eastAsia="宋体" w:cs="Times New Roman"/>
          <w:color w:val="auto"/>
          <w:sz w:val="21"/>
          <w:szCs w:val="21"/>
          <w:lang w:val="en-US" w:eastAsia="zh-CN"/>
        </w:rPr>
        <w:t>能进行声光</w:t>
      </w:r>
      <w:r>
        <w:rPr>
          <w:rFonts w:hint="eastAsia" w:cs="Times New Roman"/>
          <w:color w:val="auto"/>
          <w:sz w:val="21"/>
          <w:szCs w:val="21"/>
          <w:lang w:val="en-US" w:eastAsia="zh-CN"/>
        </w:rPr>
        <w:t>和</w:t>
      </w:r>
      <w:r>
        <w:rPr>
          <w:rFonts w:hint="eastAsia" w:hAnsi="Times New Roman" w:eastAsia="宋体" w:cs="Times New Roman"/>
          <w:color w:val="auto"/>
          <w:sz w:val="21"/>
          <w:szCs w:val="21"/>
          <w:lang w:val="en-US" w:eastAsia="zh-CN"/>
        </w:rPr>
        <w:t>振动提醒</w:t>
      </w:r>
      <w:r>
        <w:rPr>
          <w:rFonts w:hint="eastAsia" w:cs="Times New Roman"/>
          <w:color w:val="auto"/>
          <w:sz w:val="21"/>
          <w:szCs w:val="21"/>
          <w:lang w:val="en-US" w:eastAsia="zh-CN"/>
        </w:rPr>
        <w:t>。采用矿灯一体化的标识卡,具备屏显，能接收简单的短消息(紧急状态下，井下人员能够发出紧急呼救，也能接收紧急指令)。</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cs="Times New Roman"/>
          <w:color w:val="auto"/>
          <w:sz w:val="21"/>
          <w:szCs w:val="21"/>
          <w:lang w:val="en-US" w:eastAsia="zh-CN"/>
        </w:rPr>
      </w:pPr>
      <w:r>
        <w:rPr>
          <w:rFonts w:hint="eastAsia" w:ascii="黑体" w:hAnsi="黑体" w:eastAsia="黑体" w:cs="黑体"/>
          <w:color w:val="auto"/>
          <w:sz w:val="21"/>
          <w:szCs w:val="21"/>
          <w:lang w:val="en-US" w:eastAsia="zh-CN" w:bidi="ar-SA"/>
        </w:rPr>
        <w:t>4.4.7</w:t>
      </w:r>
      <w:r>
        <w:rPr>
          <w:rFonts w:hint="eastAsia" w:cs="Times New Roman"/>
          <w:color w:val="auto"/>
          <w:sz w:val="21"/>
          <w:szCs w:val="21"/>
          <w:lang w:val="en-US" w:eastAsia="zh-CN"/>
        </w:rPr>
        <w:t xml:space="preserve">  </w:t>
      </w:r>
      <w:r>
        <w:rPr>
          <w:rFonts w:hint="eastAsia" w:hAnsi="Times New Roman" w:eastAsia="宋体" w:cs="Times New Roman"/>
          <w:color w:val="auto"/>
          <w:sz w:val="21"/>
          <w:szCs w:val="21"/>
          <w:lang w:val="en-US" w:eastAsia="zh-CN"/>
        </w:rPr>
        <w:t>系统</w:t>
      </w:r>
      <w:r>
        <w:rPr>
          <w:rFonts w:hint="eastAsia" w:cs="Times New Roman"/>
          <w:color w:val="auto"/>
          <w:sz w:val="21"/>
          <w:szCs w:val="21"/>
          <w:lang w:val="en-US" w:eastAsia="zh-CN"/>
        </w:rPr>
        <w:t>应</w:t>
      </w:r>
      <w:r>
        <w:rPr>
          <w:rFonts w:hint="eastAsia" w:hAnsi="Times New Roman" w:eastAsia="宋体" w:cs="Times New Roman"/>
          <w:color w:val="auto"/>
          <w:sz w:val="21"/>
          <w:szCs w:val="21"/>
          <w:lang w:val="en-US" w:eastAsia="zh-CN"/>
        </w:rPr>
        <w:t>在线监测矿用电源的供电状态，电池状态，能够进行远程充放电管理</w:t>
      </w:r>
      <w:r>
        <w:rPr>
          <w:rFonts w:hint="eastAsia" w:cs="Times New Roman"/>
          <w:color w:val="auto"/>
          <w:sz w:val="21"/>
          <w:szCs w:val="21"/>
          <w:lang w:val="en-US" w:eastAsia="zh-CN"/>
        </w:rPr>
        <w:t>。</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4.4.8 </w:t>
      </w:r>
      <w:r>
        <w:rPr>
          <w:rFonts w:hint="eastAsia" w:hAnsi="Times New Roman" w:eastAsia="宋体" w:cs="Times New Roman"/>
          <w:color w:val="auto"/>
          <w:sz w:val="21"/>
          <w:szCs w:val="21"/>
          <w:lang w:val="en-US" w:eastAsia="zh-CN"/>
        </w:rPr>
        <w:t xml:space="preserve"> 定位分站存储数据时间应不小于4h</w:t>
      </w:r>
      <w:r>
        <w:rPr>
          <w:rFonts w:hint="eastAsia" w:cs="Times New Roman"/>
          <w:color w:val="auto"/>
          <w:sz w:val="21"/>
          <w:szCs w:val="21"/>
          <w:lang w:val="en-US" w:eastAsia="zh-CN"/>
        </w:rPr>
        <w:t>；</w:t>
      </w:r>
      <w:r>
        <w:rPr>
          <w:rFonts w:hint="eastAsia" w:hAnsi="Times New Roman" w:eastAsia="宋体" w:cs="Times New Roman"/>
          <w:color w:val="auto"/>
          <w:sz w:val="21"/>
          <w:szCs w:val="21"/>
          <w:lang w:val="en-US" w:eastAsia="zh-CN"/>
        </w:rPr>
        <w:t>单定位分站并发识别数不小于100个</w:t>
      </w:r>
      <w:r>
        <w:rPr>
          <w:rFonts w:hint="eastAsia" w:cs="Times New Roman"/>
          <w:color w:val="auto"/>
          <w:sz w:val="21"/>
          <w:szCs w:val="21"/>
          <w:lang w:val="en-US" w:eastAsia="zh-CN"/>
        </w:rPr>
        <w:t>；</w:t>
      </w:r>
      <w:r>
        <w:rPr>
          <w:rFonts w:hint="eastAsia" w:hAnsi="Times New Roman" w:eastAsia="宋体" w:cs="Times New Roman"/>
          <w:color w:val="auto"/>
          <w:sz w:val="21"/>
          <w:szCs w:val="21"/>
          <w:lang w:val="en-US" w:eastAsia="zh-CN"/>
        </w:rPr>
        <w:t xml:space="preserve"> 系统巡检周期不大于5s</w:t>
      </w:r>
      <w:r>
        <w:rPr>
          <w:rFonts w:hint="eastAsia" w:cs="Times New Roman"/>
          <w:color w:val="auto"/>
          <w:sz w:val="21"/>
          <w:szCs w:val="21"/>
          <w:lang w:val="en-US" w:eastAsia="zh-CN"/>
        </w:rPr>
        <w:t>；</w:t>
      </w:r>
      <w:r>
        <w:rPr>
          <w:rFonts w:hint="eastAsia" w:hAnsi="Times New Roman" w:eastAsia="宋体" w:cs="Times New Roman"/>
          <w:color w:val="auto"/>
          <w:sz w:val="21"/>
          <w:szCs w:val="21"/>
          <w:lang w:val="en-US" w:eastAsia="zh-CN"/>
        </w:rPr>
        <w:t>最大位移速度应不小于7m/s</w:t>
      </w:r>
      <w:r>
        <w:rPr>
          <w:rFonts w:hint="eastAsia" w:cs="Times New Roman"/>
          <w:color w:val="auto"/>
          <w:sz w:val="21"/>
          <w:szCs w:val="21"/>
          <w:lang w:val="en-US" w:eastAsia="zh-CN"/>
        </w:rPr>
        <w:t>；</w:t>
      </w:r>
      <w:r>
        <w:rPr>
          <w:rFonts w:hint="eastAsia" w:hAnsi="Times New Roman" w:eastAsia="宋体" w:cs="Times New Roman"/>
          <w:color w:val="auto"/>
          <w:sz w:val="21"/>
          <w:szCs w:val="21"/>
          <w:lang w:val="en-US" w:eastAsia="zh-CN"/>
        </w:rPr>
        <w:t>系统应具有定位卡工作是否正常和每位下井人员携带1张卡唯一性检测功能，当出现下井人员携带多张(含2张)定位卡、不携带定位卡或非本人卡等情况时，系统应识别并报警。宜采用人脸识别、虹膜识别等技术。</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default" w:ascii="黑体" w:hAnsi="黑体" w:eastAsia="黑体" w:cs="黑体"/>
          <w:color w:val="auto"/>
          <w:sz w:val="21"/>
          <w:szCs w:val="21"/>
          <w:lang w:val="en-US" w:eastAsia="zh-CN" w:bidi="ar-SA"/>
        </w:rPr>
      </w:pPr>
      <w:r>
        <w:rPr>
          <w:rFonts w:hint="eastAsia" w:ascii="黑体" w:hAnsi="黑体" w:eastAsia="黑体" w:cs="黑体"/>
          <w:color w:val="auto"/>
          <w:sz w:val="21"/>
          <w:szCs w:val="21"/>
          <w:lang w:val="en-US" w:eastAsia="zh-CN" w:bidi="ar-SA"/>
        </w:rPr>
        <w:t xml:space="preserve">4.4.9  </w:t>
      </w:r>
      <w:r>
        <w:rPr>
          <w:rFonts w:hint="eastAsia" w:hAnsi="Times New Roman" w:eastAsia="宋体" w:cs="Times New Roman"/>
          <w:color w:val="auto"/>
          <w:sz w:val="21"/>
          <w:szCs w:val="21"/>
          <w:lang w:val="en-US" w:eastAsia="zh-CN"/>
        </w:rPr>
        <w:t>系统应支持升级改造。</w:t>
      </w:r>
    </w:p>
    <w:p>
      <w:pPr>
        <w:tabs>
          <w:tab w:val="left" w:pos="5309"/>
        </w:tabs>
        <w:spacing w:before="312" w:beforeLines="100" w:after="312" w:afterLines="100"/>
        <w:outlineLvl w:val="0"/>
        <w:rPr>
          <w:rFonts w:hint="eastAsia" w:ascii="黑体" w:hAnsi="黑体" w:eastAsia="黑体" w:cs="Times New Roman"/>
          <w:szCs w:val="21"/>
          <w:lang w:val="en-US" w:eastAsia="zh-CN"/>
        </w:rPr>
      </w:pPr>
      <w:bookmarkStart w:id="13" w:name="_Toc160"/>
      <w:r>
        <w:rPr>
          <w:rFonts w:hint="eastAsia" w:ascii="黑体" w:hAnsi="黑体" w:eastAsia="黑体" w:cs="Times New Roman"/>
          <w:szCs w:val="21"/>
          <w:lang w:val="en-US" w:eastAsia="zh-CN"/>
        </w:rPr>
        <w:t>5  设计和安装要求</w:t>
      </w:r>
      <w:bookmarkEnd w:id="13"/>
      <w:r>
        <w:rPr>
          <w:rFonts w:hint="eastAsia" w:ascii="黑体" w:hAnsi="黑体" w:eastAsia="黑体" w:cs="Times New Roman"/>
          <w:szCs w:val="21"/>
          <w:lang w:val="en-US" w:eastAsia="zh-CN"/>
        </w:rPr>
        <w:tab/>
      </w:r>
    </w:p>
    <w:p>
      <w:pPr>
        <w:pStyle w:val="29"/>
        <w:keepNext w:val="0"/>
        <w:keepLines w:val="0"/>
        <w:pageBreakBefore w:val="0"/>
        <w:widowControl w:val="0"/>
        <w:kinsoku/>
        <w:wordWrap/>
        <w:overflowPunct/>
        <w:topLinePunct w:val="0"/>
        <w:autoSpaceDE w:val="0"/>
        <w:autoSpaceDN w:val="0"/>
        <w:bidi w:val="0"/>
        <w:adjustRightInd/>
        <w:snapToGrid/>
        <w:spacing w:before="156" w:beforeLines="50" w:after="156" w:afterLines="50"/>
        <w:ind w:firstLine="0" w:firstLineChars="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5.1  设计要求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黑体" w:hAnsi="黑体" w:eastAsia="黑体" w:cs="黑体"/>
          <w:color w:val="FF0000"/>
          <w:sz w:val="21"/>
          <w:szCs w:val="21"/>
          <w:lang w:val="en-US" w:eastAsia="zh-CN" w:bidi="ar-SA"/>
        </w:rPr>
      </w:pPr>
      <w:r>
        <w:rPr>
          <w:rFonts w:hint="eastAsia" w:ascii="黑体" w:hAnsi="黑体" w:eastAsia="黑体" w:cs="黑体"/>
          <w:sz w:val="21"/>
          <w:szCs w:val="21"/>
          <w:lang w:val="en-US" w:eastAsia="zh-CN" w:bidi="ar-SA"/>
        </w:rPr>
        <w:t>5.1.1</w:t>
      </w:r>
      <w:r>
        <w:rPr>
          <w:rFonts w:hint="eastAsia" w:ascii="黑体" w:hAnsi="黑体" w:eastAsia="黑体" w:cs="黑体"/>
          <w:color w:val="FF0000"/>
          <w:sz w:val="21"/>
          <w:szCs w:val="21"/>
          <w:lang w:val="en-US" w:eastAsia="zh-CN" w:bidi="ar-SA"/>
        </w:rPr>
        <w:t xml:space="preserve">  </w:t>
      </w:r>
      <w:r>
        <w:rPr>
          <w:rFonts w:hint="eastAsia" w:ascii="宋体" w:hAnsi="宋体" w:eastAsia="宋体" w:cs="宋体"/>
          <w:color w:val="auto"/>
          <w:sz w:val="21"/>
          <w:szCs w:val="21"/>
          <w:lang w:val="en-US" w:eastAsia="zh-CN" w:bidi="ar-SA"/>
        </w:rPr>
        <w:t>应将人员精准定位系统与监测监控系统、通信联络系统进行总体设计。</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黑体" w:hAnsi="黑体" w:eastAsia="黑体" w:cs="黑体"/>
          <w:color w:val="auto"/>
          <w:sz w:val="21"/>
          <w:szCs w:val="21"/>
          <w:lang w:val="en-US" w:eastAsia="zh-CN" w:bidi="ar-SA"/>
        </w:rPr>
      </w:pPr>
      <w:r>
        <w:rPr>
          <w:rFonts w:hint="eastAsia" w:ascii="黑体" w:hAnsi="黑体" w:eastAsia="黑体" w:cs="黑体"/>
          <w:color w:val="auto"/>
          <w:sz w:val="21"/>
          <w:szCs w:val="21"/>
          <w:lang w:val="en-US" w:eastAsia="zh-CN" w:bidi="ar-SA"/>
        </w:rPr>
        <w:t xml:space="preserve">5.1.2  </w:t>
      </w:r>
      <w:r>
        <w:rPr>
          <w:rFonts w:hint="eastAsia" w:hAnsi="Times New Roman" w:eastAsia="宋体" w:cs="Times New Roman"/>
          <w:color w:val="auto"/>
          <w:sz w:val="21"/>
          <w:szCs w:val="21"/>
          <w:lang w:val="en-US" w:eastAsia="zh-CN"/>
        </w:rPr>
        <w:t>应选用UWB精准定位技术，以提高定位精度和可靠性。</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5.1.3  </w:t>
      </w:r>
      <w:r>
        <w:rPr>
          <w:rFonts w:hint="eastAsia" w:hAnsi="Times New Roman" w:eastAsia="宋体" w:cs="Times New Roman"/>
          <w:sz w:val="21"/>
          <w:szCs w:val="21"/>
          <w:lang w:val="en-US" w:eastAsia="zh-CN"/>
        </w:rPr>
        <w:t>系统架构应不超过3层。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5.1.4  </w:t>
      </w:r>
      <w:r>
        <w:rPr>
          <w:rFonts w:hint="eastAsia" w:hAnsi="Times New Roman" w:eastAsia="宋体" w:cs="Times New Roman"/>
          <w:sz w:val="21"/>
          <w:szCs w:val="21"/>
          <w:lang w:val="en-US" w:eastAsia="zh-CN"/>
        </w:rPr>
        <w:t>系统</w:t>
      </w:r>
      <w:r>
        <w:rPr>
          <w:rFonts w:hint="eastAsia" w:cs="Times New Roman"/>
          <w:sz w:val="21"/>
          <w:szCs w:val="21"/>
          <w:lang w:val="en-US" w:eastAsia="zh-CN"/>
        </w:rPr>
        <w:t>两路</w:t>
      </w:r>
      <w:r>
        <w:rPr>
          <w:rFonts w:hint="eastAsia" w:hAnsi="Times New Roman" w:eastAsia="宋体" w:cs="Times New Roman"/>
          <w:sz w:val="21"/>
          <w:szCs w:val="21"/>
          <w:lang w:val="en-US" w:eastAsia="zh-CN"/>
        </w:rPr>
        <w:t>主光缆应从不同井筒进入井下，主光缆和环网交换机应组成千兆以上工业级以太环网。</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default"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5.1.5  </w:t>
      </w:r>
      <w:r>
        <w:rPr>
          <w:rFonts w:hint="eastAsia" w:hAnsi="Times New Roman" w:eastAsia="宋体" w:cs="Times New Roman"/>
          <w:color w:val="auto"/>
          <w:sz w:val="21"/>
          <w:szCs w:val="21"/>
          <w:lang w:val="en-US" w:eastAsia="zh-CN"/>
        </w:rPr>
        <w:t>定位误差应符合下列要求：</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auto"/>
          <w:sz w:val="21"/>
          <w:szCs w:val="21"/>
          <w:lang w:val="en-US" w:eastAsia="zh-CN"/>
        </w:rPr>
      </w:pPr>
      <w:r>
        <w:rPr>
          <w:rFonts w:hint="eastAsia" w:hAnsi="Times New Roman" w:eastAsia="宋体" w:cs="Times New Roman"/>
          <w:color w:val="auto"/>
          <w:sz w:val="21"/>
          <w:szCs w:val="21"/>
          <w:lang w:val="en-US" w:eastAsia="zh-CN"/>
        </w:rPr>
        <w:t>a)系统最大静态定位误差应不大于0.3m；</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auto"/>
          <w:sz w:val="21"/>
          <w:szCs w:val="21"/>
          <w:lang w:val="en-US" w:eastAsia="zh-CN"/>
        </w:rPr>
      </w:pPr>
      <w:r>
        <w:rPr>
          <w:rFonts w:hint="eastAsia" w:hAnsi="Times New Roman" w:eastAsia="宋体" w:cs="Times New Roman"/>
          <w:color w:val="auto"/>
          <w:sz w:val="21"/>
          <w:szCs w:val="21"/>
          <w:lang w:val="en-US" w:eastAsia="zh-CN"/>
        </w:rPr>
        <w:t>b)系统最大动态定位误差应不大于7.3m。</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5.1.6  </w:t>
      </w:r>
      <w:r>
        <w:rPr>
          <w:rFonts w:hint="eastAsia" w:hAnsi="Times New Roman" w:eastAsia="宋体" w:cs="Times New Roman"/>
          <w:sz w:val="21"/>
          <w:szCs w:val="21"/>
          <w:lang w:val="en-US" w:eastAsia="zh-CN"/>
        </w:rPr>
        <w:t>防护能力</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color w:val="000000"/>
          <w:sz w:val="21"/>
          <w:szCs w:val="21"/>
          <w:lang w:val="en-US" w:eastAsia="zh-CN"/>
        </w:rPr>
      </w:pPr>
      <w:r>
        <w:rPr>
          <w:rFonts w:hint="eastAsia" w:hAnsi="Times New Roman" w:eastAsia="宋体" w:cs="Times New Roman"/>
          <w:color w:val="000000"/>
          <w:sz w:val="21"/>
          <w:szCs w:val="21"/>
          <w:lang w:val="en-US" w:eastAsia="zh-CN"/>
        </w:rPr>
        <w:t>a)识别卡防护等级应达到IP65；</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default" w:hAnsi="Times New Roman" w:eastAsia="宋体" w:cs="Times New Roman"/>
          <w:sz w:val="21"/>
          <w:szCs w:val="21"/>
          <w:lang w:val="en-US" w:eastAsia="zh-CN"/>
        </w:rPr>
      </w:pPr>
      <w:r>
        <w:rPr>
          <w:rFonts w:hint="eastAsia" w:hAnsi="Times New Roman" w:eastAsia="宋体" w:cs="Times New Roman"/>
          <w:sz w:val="21"/>
          <w:szCs w:val="21"/>
          <w:lang w:val="en-US" w:eastAsia="zh-CN"/>
        </w:rPr>
        <w:t>b)分站防护等级应达到IP54；</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default" w:hAnsi="Times New Roman" w:eastAsia="宋体" w:cs="Times New Roman"/>
          <w:sz w:val="21"/>
          <w:szCs w:val="21"/>
          <w:lang w:val="en-US" w:eastAsia="zh-CN"/>
        </w:rPr>
      </w:pPr>
      <w:r>
        <w:rPr>
          <w:rFonts w:hint="eastAsia" w:hAnsi="Times New Roman" w:eastAsia="宋体" w:cs="Times New Roman"/>
          <w:sz w:val="21"/>
          <w:szCs w:val="21"/>
          <w:lang w:val="en-US" w:eastAsia="zh-CN"/>
        </w:rPr>
        <w:t>c)具有冲击地压危险的采掘工作面、巷道使用的分站，应具备抗冲击、抗震动破坏能力，或者采取保护措施。</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default"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5.1.7  </w:t>
      </w:r>
      <w:r>
        <w:rPr>
          <w:rFonts w:hint="eastAsia" w:hAnsi="Times New Roman" w:eastAsia="宋体" w:cs="Times New Roman"/>
          <w:color w:val="auto"/>
          <w:sz w:val="21"/>
          <w:szCs w:val="21"/>
          <w:lang w:val="en-US" w:eastAsia="zh-CN"/>
        </w:rPr>
        <w:t>系统应采用集中供电，不应就近取电</w:t>
      </w:r>
      <w:r>
        <w:rPr>
          <w:rFonts w:hint="eastAsia" w:cs="Times New Roman"/>
          <w:color w:val="auto"/>
          <w:sz w:val="21"/>
          <w:szCs w:val="21"/>
          <w:lang w:val="en-US" w:eastAsia="zh-CN"/>
        </w:rPr>
        <w:t>。</w:t>
      </w:r>
      <w:r>
        <w:rPr>
          <w:rFonts w:hint="eastAsia" w:hAnsi="Times New Roman" w:eastAsia="宋体" w:cs="Times New Roman"/>
          <w:color w:val="auto"/>
          <w:sz w:val="21"/>
          <w:szCs w:val="21"/>
          <w:lang w:val="en-US" w:eastAsia="zh-CN"/>
        </w:rPr>
        <w:t>供电设备应布置在井下变、配电所，</w:t>
      </w:r>
      <w:r>
        <w:rPr>
          <w:rFonts w:hint="eastAsia" w:cs="Times New Roman"/>
          <w:color w:val="auto"/>
          <w:sz w:val="21"/>
          <w:szCs w:val="21"/>
          <w:lang w:val="en-US" w:eastAsia="zh-CN"/>
        </w:rPr>
        <w:t>应设置</w:t>
      </w:r>
      <w:r>
        <w:rPr>
          <w:rFonts w:hint="eastAsia" w:hAnsi="Times New Roman" w:eastAsia="宋体" w:cs="Times New Roman"/>
          <w:color w:val="auto"/>
          <w:sz w:val="21"/>
          <w:szCs w:val="21"/>
          <w:lang w:val="en-US" w:eastAsia="zh-CN"/>
        </w:rPr>
        <w:t>开关及稳压装置</w:t>
      </w:r>
      <w:r>
        <w:rPr>
          <w:rFonts w:hint="eastAsia" w:cs="Times New Roman"/>
          <w:color w:val="auto"/>
          <w:sz w:val="21"/>
          <w:szCs w:val="21"/>
          <w:lang w:val="en-US" w:eastAsia="zh-CN"/>
        </w:rPr>
        <w:t>，敷设</w:t>
      </w:r>
      <w:r>
        <w:rPr>
          <w:rFonts w:hint="eastAsia" w:hAnsi="Times New Roman" w:eastAsia="宋体" w:cs="Times New Roman"/>
          <w:color w:val="auto"/>
          <w:sz w:val="21"/>
          <w:szCs w:val="21"/>
          <w:lang w:val="en-US" w:eastAsia="zh-CN"/>
        </w:rPr>
        <w:t>专用供电线路，严禁和照明系统共用线路</w:t>
      </w:r>
      <w:r>
        <w:rPr>
          <w:rFonts w:hint="eastAsia" w:cs="Times New Roman"/>
          <w:color w:val="auto"/>
          <w:sz w:val="21"/>
          <w:szCs w:val="21"/>
          <w:lang w:val="en-US" w:eastAsia="zh-CN"/>
        </w:rPr>
        <w:t>及</w:t>
      </w:r>
      <w:r>
        <w:rPr>
          <w:rFonts w:hint="eastAsia" w:hAnsi="Times New Roman" w:eastAsia="宋体" w:cs="Times New Roman"/>
          <w:color w:val="auto"/>
          <w:sz w:val="21"/>
          <w:szCs w:val="21"/>
          <w:lang w:val="en-US" w:eastAsia="zh-CN"/>
        </w:rPr>
        <w:t>开关设备。</w:t>
      </w:r>
      <w:r>
        <w:rPr>
          <w:rFonts w:hint="eastAsia" w:cs="Times New Roman"/>
          <w:color w:val="auto"/>
          <w:sz w:val="21"/>
          <w:szCs w:val="21"/>
          <w:lang w:val="en-US" w:eastAsia="zh-CN"/>
        </w:rPr>
        <w:t>应</w:t>
      </w:r>
      <w:r>
        <w:rPr>
          <w:rFonts w:hint="eastAsia" w:hAnsi="Times New Roman" w:eastAsia="宋体" w:cs="Times New Roman"/>
          <w:color w:val="auto"/>
          <w:sz w:val="21"/>
          <w:szCs w:val="21"/>
          <w:lang w:val="en-US" w:eastAsia="zh-CN"/>
        </w:rPr>
        <w:t>配备供电不小于2小时的UPS备用电源。</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default"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5.1.8  </w:t>
      </w:r>
      <w:r>
        <w:rPr>
          <w:rFonts w:hint="eastAsia" w:hAnsi="Times New Roman" w:eastAsia="宋体" w:cs="Times New Roman"/>
          <w:sz w:val="21"/>
          <w:szCs w:val="21"/>
          <w:lang w:val="en-US" w:eastAsia="zh-CN"/>
        </w:rPr>
        <w:t>限制区域应做密闭处理，无法密闭的限制区域应在能够进入限制区域的巷道内安装分站。</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5.1.9  </w:t>
      </w:r>
      <w:r>
        <w:rPr>
          <w:rFonts w:hint="eastAsia" w:hAnsi="Times New Roman" w:eastAsia="宋体" w:cs="Times New Roman"/>
          <w:sz w:val="21"/>
          <w:szCs w:val="21"/>
          <w:lang w:val="en-US" w:eastAsia="zh-CN"/>
        </w:rPr>
        <w:t>应包括但不限于下列位置安装分站</w:t>
      </w:r>
      <w:r>
        <w:rPr>
          <w:rFonts w:hint="eastAsia" w:cs="Times New Roman"/>
          <w:sz w:val="21"/>
          <w:szCs w:val="21"/>
          <w:lang w:val="en-US" w:eastAsia="zh-CN"/>
        </w:rPr>
        <w:t>：</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hAnsi="Times New Roman" w:eastAsia="宋体" w:cs="Times New Roman"/>
          <w:sz w:val="21"/>
          <w:szCs w:val="21"/>
          <w:lang w:val="en-US" w:eastAsia="zh-CN"/>
        </w:rPr>
        <w:t>a)人员出入井口；</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hAnsi="Times New Roman" w:eastAsia="宋体" w:cs="Times New Roman"/>
          <w:sz w:val="21"/>
          <w:szCs w:val="21"/>
          <w:lang w:val="en-US" w:eastAsia="zh-CN"/>
        </w:rPr>
        <w:t>b)主要井巷和中段；</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cs="Times New Roman"/>
          <w:sz w:val="21"/>
          <w:szCs w:val="21"/>
          <w:lang w:val="en-US" w:eastAsia="zh-CN"/>
        </w:rPr>
        <w:t>c</w:t>
      </w:r>
      <w:r>
        <w:rPr>
          <w:rFonts w:hint="eastAsia" w:hAnsi="Times New Roman" w:eastAsia="宋体" w:cs="Times New Roman"/>
          <w:sz w:val="21"/>
          <w:szCs w:val="21"/>
          <w:lang w:val="en-US" w:eastAsia="zh-CN"/>
        </w:rPr>
        <w:t>）避灾硐室、救生舱和其他避灾设施；</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cs="Times New Roman"/>
          <w:sz w:val="21"/>
          <w:szCs w:val="21"/>
          <w:lang w:val="en-US" w:eastAsia="zh-CN"/>
        </w:rPr>
        <w:t>d</w:t>
      </w:r>
      <w:r>
        <w:rPr>
          <w:rFonts w:hint="eastAsia" w:hAnsi="Times New Roman" w:eastAsia="宋体" w:cs="Times New Roman"/>
          <w:sz w:val="21"/>
          <w:szCs w:val="21"/>
          <w:lang w:val="en-US" w:eastAsia="zh-CN"/>
        </w:rPr>
        <w:t>)井下主变电所；</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hAnsi="Times New Roman" w:eastAsia="宋体" w:cs="Times New Roman"/>
          <w:sz w:val="21"/>
          <w:szCs w:val="21"/>
          <w:lang w:val="en-US" w:eastAsia="zh-CN"/>
        </w:rPr>
        <w:t>e)井下主排水泵房；</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hAnsi="Times New Roman" w:eastAsia="宋体" w:cs="Times New Roman"/>
          <w:sz w:val="21"/>
          <w:szCs w:val="21"/>
          <w:lang w:val="en-US" w:eastAsia="zh-CN"/>
        </w:rPr>
        <w:t>f)井下机电设备硐室；</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hAnsi="Times New Roman" w:eastAsia="宋体" w:cs="Times New Roman"/>
          <w:sz w:val="21"/>
          <w:szCs w:val="21"/>
          <w:lang w:val="en-US" w:eastAsia="zh-CN"/>
        </w:rPr>
        <w:t>g)井下炸药库；</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hAnsi="Times New Roman" w:eastAsia="宋体" w:cs="Times New Roman"/>
          <w:sz w:val="21"/>
          <w:szCs w:val="21"/>
          <w:lang w:val="en-US" w:eastAsia="zh-CN"/>
        </w:rPr>
        <w:t>h)其他需要安装的地点。</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5.1.10  </w:t>
      </w:r>
      <w:r>
        <w:rPr>
          <w:rFonts w:hint="eastAsia" w:hAnsi="Times New Roman" w:eastAsia="宋体" w:cs="Times New Roman"/>
          <w:sz w:val="21"/>
          <w:szCs w:val="21"/>
          <w:lang w:val="en-US" w:eastAsia="zh-CN"/>
        </w:rPr>
        <w:t>分站安装位置设计</w:t>
      </w:r>
      <w:r>
        <w:rPr>
          <w:rFonts w:hint="eastAsia" w:cs="Times New Roman"/>
          <w:sz w:val="21"/>
          <w:szCs w:val="21"/>
          <w:lang w:val="en-US" w:eastAsia="zh-CN"/>
        </w:rPr>
        <w:t>：</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default" w:ascii="黑体" w:hAnsi="黑体" w:eastAsia="黑体" w:cs="黑体"/>
          <w:sz w:val="21"/>
          <w:szCs w:val="21"/>
          <w:lang w:val="en-US" w:eastAsia="zh-CN" w:bidi="ar-SA"/>
        </w:rPr>
      </w:pPr>
      <w:r>
        <w:rPr>
          <w:rFonts w:hint="eastAsia" w:ascii="黑体" w:hAnsi="黑体" w:eastAsia="黑体" w:cs="黑体"/>
          <w:sz w:val="21"/>
          <w:szCs w:val="21"/>
          <w:lang w:val="en-US" w:eastAsia="zh-CN" w:bidi="ar-SA"/>
        </w:rPr>
        <w:t xml:space="preserve">5.1.10.1 </w:t>
      </w:r>
      <w:r>
        <w:rPr>
          <w:rFonts w:hint="eastAsia" w:hAnsi="Times New Roman" w:eastAsia="宋体" w:cs="Times New Roman"/>
          <w:sz w:val="21"/>
          <w:szCs w:val="21"/>
          <w:lang w:val="en-US" w:eastAsia="zh-CN"/>
        </w:rPr>
        <w:t xml:space="preserve"> 出入井口</w:t>
      </w:r>
    </w:p>
    <w:p>
      <w:pPr>
        <w:pStyle w:val="10"/>
        <w:keepNext w:val="0"/>
        <w:keepLines w:val="0"/>
        <w:pageBreakBefore w:val="0"/>
        <w:widowControl w:val="0"/>
        <w:kinsoku/>
        <w:wordWrap/>
        <w:overflowPunct/>
        <w:topLinePunct w:val="0"/>
        <w:autoSpaceDE/>
        <w:autoSpaceDN/>
        <w:bidi w:val="0"/>
        <w:adjustRightInd/>
        <w:snapToGrid/>
        <w:ind w:left="0" w:leftChars="0" w:firstLine="420" w:firstLineChars="200"/>
        <w:textAlignment w:val="auto"/>
        <w:outlineLvl w:val="9"/>
        <w:rPr>
          <w:rFonts w:hint="default" w:hAnsi="Times New Roman" w:eastAsia="宋体" w:cs="Times New Roman"/>
          <w:sz w:val="21"/>
          <w:szCs w:val="21"/>
          <w:lang w:val="en-US" w:eastAsia="zh-CN"/>
        </w:rPr>
      </w:pPr>
      <w:r>
        <w:rPr>
          <w:rFonts w:hint="eastAsia" w:hAnsi="Times New Roman" w:eastAsia="宋体" w:cs="Times New Roman"/>
          <w:sz w:val="21"/>
          <w:szCs w:val="21"/>
          <w:lang w:val="en-US" w:eastAsia="zh-CN"/>
        </w:rPr>
        <w:t>出入井口应分别设置 2 台分站以判别携卡人员的出入井，D1安装于井口，D2应安装在D1有效识别距离内，如图1～3。</w:t>
      </w:r>
      <w:r>
        <w:rPr>
          <w:rFonts w:hint="eastAsia" w:cs="Times New Roman"/>
          <w:sz w:val="21"/>
          <w:szCs w:val="21"/>
          <w:lang w:val="en-US" w:eastAsia="zh-CN"/>
        </w:rPr>
        <w:t>井口宜设置人脸识别系统。</w:t>
      </w:r>
    </w:p>
    <w:p>
      <w:pPr>
        <w:pStyle w:val="10"/>
        <w:keepNext w:val="0"/>
        <w:keepLines w:val="0"/>
        <w:pageBreakBefore w:val="0"/>
        <w:widowControl w:val="0"/>
        <w:kinsoku/>
        <w:wordWrap/>
        <w:overflowPunct/>
        <w:topLinePunct w:val="0"/>
        <w:autoSpaceDE/>
        <w:autoSpaceDN/>
        <w:bidi w:val="0"/>
        <w:adjustRightInd/>
        <w:snapToGrid/>
        <w:ind w:left="0" w:leftChars="0" w:firstLine="420" w:firstLineChars="200"/>
        <w:jc w:val="center"/>
        <w:textAlignment w:val="auto"/>
        <w:outlineLvl w:val="9"/>
        <w:rPr>
          <w:rFonts w:hint="default" w:hAnsi="Times New Roman" w:eastAsia="宋体" w:cs="Times New Roman"/>
          <w:sz w:val="21"/>
          <w:szCs w:val="21"/>
          <w:lang w:val="en-US" w:eastAsia="zh-CN"/>
        </w:rPr>
      </w:pPr>
      <w:r>
        <w:rPr>
          <w:rFonts w:hint="default" w:hAnsi="Times New Roman" w:eastAsia="宋体" w:cs="Times New Roman"/>
          <w:sz w:val="21"/>
          <w:szCs w:val="21"/>
          <w:lang w:val="en-US" w:eastAsia="zh-CN"/>
        </w:rPr>
        <w:drawing>
          <wp:inline distT="0" distB="0" distL="114300" distR="114300">
            <wp:extent cx="1078865" cy="4031615"/>
            <wp:effectExtent l="0" t="0" r="6985" b="6985"/>
            <wp:docPr id="3" name="图片 16" descr="平硐基站布置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6" descr="平硐基站布置_00"/>
                    <pic:cNvPicPr>
                      <a:picLocks noChangeAspect="1"/>
                    </pic:cNvPicPr>
                  </pic:nvPicPr>
                  <pic:blipFill>
                    <a:blip r:embed="rId22"/>
                    <a:srcRect l="11253" t="844" r="53389" b="5762"/>
                    <a:stretch>
                      <a:fillRect/>
                    </a:stretch>
                  </pic:blipFill>
                  <pic:spPr>
                    <a:xfrm rot="-5400000">
                      <a:off x="0" y="0"/>
                      <a:ext cx="1078865" cy="4031615"/>
                    </a:xfrm>
                    <a:prstGeom prst="rect">
                      <a:avLst/>
                    </a:prstGeom>
                    <a:noFill/>
                    <a:ln>
                      <a:noFill/>
                    </a:ln>
                  </pic:spPr>
                </pic:pic>
              </a:graphicData>
            </a:graphic>
          </wp:inline>
        </w:drawing>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图1 平硐出入井分站位置要求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drawing>
          <wp:inline distT="0" distB="0" distL="114300" distR="114300">
            <wp:extent cx="2043430" cy="3663315"/>
            <wp:effectExtent l="0" t="0" r="13335" b="13970"/>
            <wp:docPr id="4" name="图片 17" descr="斜井口基站布置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7" descr="斜井口基站布置_00"/>
                    <pic:cNvPicPr>
                      <a:picLocks noChangeAspect="1"/>
                    </pic:cNvPicPr>
                  </pic:nvPicPr>
                  <pic:blipFill>
                    <a:blip r:embed="rId23"/>
                    <a:srcRect l="11925" t="3404" r="18985" b="9077"/>
                    <a:stretch>
                      <a:fillRect/>
                    </a:stretch>
                  </pic:blipFill>
                  <pic:spPr>
                    <a:xfrm rot="-5400000">
                      <a:off x="0" y="0"/>
                      <a:ext cx="2043430" cy="3663315"/>
                    </a:xfrm>
                    <a:prstGeom prst="rect">
                      <a:avLst/>
                    </a:prstGeom>
                    <a:noFill/>
                    <a:ln>
                      <a:noFill/>
                    </a:ln>
                  </pic:spPr>
                </pic:pic>
              </a:graphicData>
            </a:graphic>
          </wp:inline>
        </w:drawing>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图2 斜井、斜坡道出入井分站位置要求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drawing>
          <wp:inline distT="0" distB="0" distL="114300" distR="114300">
            <wp:extent cx="1713865" cy="2880360"/>
            <wp:effectExtent l="0" t="0" r="635" b="15240"/>
            <wp:docPr id="5" name="图片 19" descr="平硐基站布置111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9" descr="平硐基站布置1111_00"/>
                    <pic:cNvPicPr>
                      <a:picLocks noChangeAspect="1"/>
                    </pic:cNvPicPr>
                  </pic:nvPicPr>
                  <pic:blipFill>
                    <a:blip r:embed="rId24"/>
                    <a:srcRect l="22023" t="10727" r="5402" b="3094"/>
                    <a:stretch>
                      <a:fillRect/>
                    </a:stretch>
                  </pic:blipFill>
                  <pic:spPr>
                    <a:xfrm>
                      <a:off x="0" y="0"/>
                      <a:ext cx="1713865" cy="2880360"/>
                    </a:xfrm>
                    <a:prstGeom prst="rect">
                      <a:avLst/>
                    </a:prstGeom>
                    <a:noFill/>
                    <a:ln>
                      <a:noFill/>
                    </a:ln>
                  </pic:spPr>
                </pic:pic>
              </a:graphicData>
            </a:graphic>
          </wp:inline>
        </w:drawing>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图3 竖井出入井分站位置要求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b w:val="0"/>
          <w:bCs w:val="0"/>
          <w:sz w:val="21"/>
          <w:szCs w:val="21"/>
          <w:lang w:val="en-US" w:eastAsia="zh-CN"/>
        </w:rPr>
      </w:pP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outlineLvl w:val="9"/>
        <w:rPr>
          <w:rFonts w:hint="default"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5.1.10.2  </w:t>
      </w:r>
      <w:r>
        <w:rPr>
          <w:rFonts w:hint="eastAsia" w:hAnsi="Times New Roman" w:eastAsia="宋体" w:cs="Times New Roman"/>
          <w:sz w:val="21"/>
          <w:szCs w:val="21"/>
          <w:lang w:val="en-US" w:eastAsia="zh-CN"/>
        </w:rPr>
        <w:t>中段及分段</w:t>
      </w:r>
    </w:p>
    <w:p>
      <w:pPr>
        <w:pStyle w:val="10"/>
        <w:keepNext w:val="0"/>
        <w:keepLines w:val="0"/>
        <w:pageBreakBefore w:val="0"/>
        <w:widowControl w:val="0"/>
        <w:kinsoku/>
        <w:wordWrap/>
        <w:overflowPunct/>
        <w:topLinePunct w:val="0"/>
        <w:autoSpaceDE/>
        <w:autoSpaceDN/>
        <w:bidi w:val="0"/>
        <w:adjustRightInd/>
        <w:snapToGrid/>
        <w:ind w:left="0" w:leftChars="0" w:firstLine="420" w:firstLineChars="200"/>
        <w:jc w:val="both"/>
        <w:textAlignment w:val="auto"/>
        <w:outlineLvl w:val="9"/>
        <w:rPr>
          <w:rFonts w:hint="eastAsia" w:ascii="黑体" w:hAnsi="黑体" w:eastAsia="黑体" w:cs="黑体"/>
          <w:sz w:val="21"/>
          <w:szCs w:val="21"/>
          <w:lang w:val="en-US" w:eastAsia="zh-CN" w:bidi="ar-SA"/>
        </w:rPr>
      </w:pPr>
      <w:r>
        <w:rPr>
          <w:rFonts w:hint="eastAsia" w:hAnsi="Times New Roman" w:eastAsia="宋体" w:cs="Times New Roman"/>
          <w:sz w:val="21"/>
          <w:szCs w:val="21"/>
          <w:lang w:val="en-US" w:eastAsia="zh-CN"/>
        </w:rPr>
        <w:t>在中段和分段的两个出口分别布设分站，并在巷道内每隔L均匀布设分站，如图4。</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outlineLvl w:val="9"/>
        <w:rPr>
          <w:rFonts w:hint="eastAsia" w:eastAsia="宋体"/>
          <w:lang w:eastAsia="zh-CN"/>
        </w:rPr>
      </w:pPr>
      <w:r>
        <w:rPr>
          <w:rFonts w:hint="eastAsia" w:eastAsia="宋体"/>
          <w:lang w:eastAsia="zh-CN"/>
        </w:rPr>
        <w:drawing>
          <wp:inline distT="0" distB="0" distL="114300" distR="114300">
            <wp:extent cx="1052195" cy="5975985"/>
            <wp:effectExtent l="0" t="0" r="5715" b="14605"/>
            <wp:docPr id="6" name="图片 21" descr="WPS导出为PDF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1" descr="WPS导出为PDF_00"/>
                    <pic:cNvPicPr>
                      <a:picLocks noChangeAspect="1"/>
                    </pic:cNvPicPr>
                  </pic:nvPicPr>
                  <pic:blipFill>
                    <a:blip r:embed="rId25"/>
                    <a:srcRect l="39961" t="2716" r="37192" b="5568"/>
                    <a:stretch>
                      <a:fillRect/>
                    </a:stretch>
                  </pic:blipFill>
                  <pic:spPr>
                    <a:xfrm rot="-5400000">
                      <a:off x="0" y="0"/>
                      <a:ext cx="1052195" cy="5975985"/>
                    </a:xfrm>
                    <a:prstGeom prst="rect">
                      <a:avLst/>
                    </a:prstGeom>
                    <a:noFill/>
                    <a:ln>
                      <a:noFill/>
                    </a:ln>
                  </pic:spPr>
                </pic:pic>
              </a:graphicData>
            </a:graphic>
          </wp:inline>
        </w:drawing>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图4 中段和分段分站位置要求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outlineLvl w:val="9"/>
        <w:rPr>
          <w:rFonts w:hint="default"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5.1.10.3  </w:t>
      </w:r>
      <w:r>
        <w:rPr>
          <w:rFonts w:hint="eastAsia" w:hAnsi="Times New Roman" w:eastAsia="宋体" w:cs="Times New Roman"/>
          <w:sz w:val="21"/>
          <w:szCs w:val="21"/>
          <w:lang w:val="en-US" w:eastAsia="zh-CN"/>
        </w:rPr>
        <w:t>巷道</w:t>
      </w:r>
      <w:r>
        <w:rPr>
          <w:rFonts w:hint="eastAsia" w:cs="Times New Roman"/>
          <w:sz w:val="21"/>
          <w:szCs w:val="21"/>
          <w:lang w:val="en-US" w:eastAsia="zh-CN"/>
        </w:rPr>
        <w:t>分</w:t>
      </w:r>
      <w:r>
        <w:rPr>
          <w:rFonts w:hint="eastAsia" w:hAnsi="Times New Roman" w:eastAsia="宋体" w:cs="Times New Roman"/>
          <w:sz w:val="21"/>
          <w:szCs w:val="21"/>
          <w:lang w:val="en-US" w:eastAsia="zh-CN"/>
        </w:rPr>
        <w:t>岔口</w:t>
      </w:r>
    </w:p>
    <w:p>
      <w:pPr>
        <w:pStyle w:val="10"/>
        <w:keepNext w:val="0"/>
        <w:keepLines w:val="0"/>
        <w:pageBreakBefore w:val="0"/>
        <w:widowControl w:val="0"/>
        <w:kinsoku/>
        <w:wordWrap/>
        <w:overflowPunct/>
        <w:topLinePunct w:val="0"/>
        <w:autoSpaceDE/>
        <w:autoSpaceDN/>
        <w:bidi w:val="0"/>
        <w:adjustRightInd/>
        <w:snapToGrid/>
        <w:ind w:left="0" w:leftChars="0" w:firstLine="420" w:firstLineChars="200"/>
        <w:jc w:val="both"/>
        <w:textAlignment w:val="auto"/>
        <w:outlineLvl w:val="9"/>
        <w:rPr>
          <w:rFonts w:hint="default" w:hAnsi="Times New Roman" w:eastAsia="宋体" w:cs="Times New Roman"/>
          <w:sz w:val="21"/>
          <w:szCs w:val="21"/>
          <w:lang w:val="en-US" w:eastAsia="zh-CN"/>
        </w:rPr>
      </w:pPr>
      <w:r>
        <w:rPr>
          <w:rFonts w:hint="eastAsia" w:hAnsi="Times New Roman" w:eastAsia="宋体" w:cs="Times New Roman"/>
          <w:sz w:val="21"/>
          <w:szCs w:val="21"/>
          <w:lang w:val="en-US" w:eastAsia="zh-CN"/>
        </w:rPr>
        <w:t>巷道</w:t>
      </w:r>
      <w:r>
        <w:rPr>
          <w:rFonts w:hint="eastAsia" w:cs="Times New Roman"/>
          <w:sz w:val="21"/>
          <w:szCs w:val="21"/>
          <w:lang w:val="en-US" w:eastAsia="zh-CN"/>
        </w:rPr>
        <w:t>内</w:t>
      </w:r>
      <w:r>
        <w:rPr>
          <w:rFonts w:hint="eastAsia" w:hAnsi="Times New Roman" w:eastAsia="宋体" w:cs="Times New Roman"/>
          <w:sz w:val="21"/>
          <w:szCs w:val="21"/>
          <w:lang w:val="en-US" w:eastAsia="zh-CN"/>
        </w:rPr>
        <w:t>出现</w:t>
      </w:r>
      <w:r>
        <w:rPr>
          <w:rFonts w:hint="eastAsia" w:cs="Times New Roman"/>
          <w:sz w:val="21"/>
          <w:szCs w:val="21"/>
          <w:lang w:val="en-US" w:eastAsia="zh-CN"/>
        </w:rPr>
        <w:t>分</w:t>
      </w:r>
      <w:r>
        <w:rPr>
          <w:rFonts w:hint="eastAsia" w:hAnsi="Times New Roman" w:eastAsia="宋体" w:cs="Times New Roman"/>
          <w:sz w:val="21"/>
          <w:szCs w:val="21"/>
          <w:lang w:val="en-US" w:eastAsia="zh-CN"/>
        </w:rPr>
        <w:t>岔口，应在巷道</w:t>
      </w:r>
      <w:r>
        <w:rPr>
          <w:rFonts w:hint="eastAsia" w:hAnsi="Times New Roman" w:eastAsia="宋体" w:cs="Times New Roman"/>
          <w:color w:val="auto"/>
          <w:sz w:val="21"/>
          <w:szCs w:val="21"/>
          <w:lang w:val="en-US" w:eastAsia="zh-CN"/>
        </w:rPr>
        <w:t>分</w:t>
      </w:r>
      <w:r>
        <w:rPr>
          <w:rFonts w:hint="eastAsia" w:cs="Times New Roman"/>
          <w:color w:val="auto"/>
          <w:sz w:val="21"/>
          <w:szCs w:val="21"/>
          <w:lang w:val="en-US" w:eastAsia="zh-CN"/>
        </w:rPr>
        <w:t>支</w:t>
      </w:r>
      <w:r>
        <w:rPr>
          <w:rFonts w:hint="eastAsia" w:hAnsi="Times New Roman" w:eastAsia="宋体" w:cs="Times New Roman"/>
          <w:color w:val="auto"/>
          <w:sz w:val="21"/>
          <w:szCs w:val="21"/>
          <w:lang w:val="en-US" w:eastAsia="zh-CN"/>
        </w:rPr>
        <w:t>内</w:t>
      </w:r>
      <w:r>
        <w:rPr>
          <w:rFonts w:hint="eastAsia" w:hAnsi="Times New Roman" w:eastAsia="宋体" w:cs="Times New Roman"/>
          <w:sz w:val="21"/>
          <w:szCs w:val="21"/>
          <w:lang w:val="en-US" w:eastAsia="zh-CN"/>
        </w:rPr>
        <w:t>距离</w:t>
      </w:r>
      <w:r>
        <w:rPr>
          <w:rFonts w:hint="eastAsia" w:cs="Times New Roman"/>
          <w:sz w:val="21"/>
          <w:szCs w:val="21"/>
          <w:lang w:val="en-US" w:eastAsia="zh-CN"/>
        </w:rPr>
        <w:t>分</w:t>
      </w:r>
      <w:r>
        <w:rPr>
          <w:rFonts w:hint="eastAsia" w:hAnsi="Times New Roman" w:eastAsia="宋体" w:cs="Times New Roman"/>
          <w:sz w:val="21"/>
          <w:szCs w:val="21"/>
          <w:lang w:val="en-US" w:eastAsia="zh-CN"/>
        </w:rPr>
        <w:t>岔口</w:t>
      </w:r>
      <w:r>
        <w:rPr>
          <w:rFonts w:hint="eastAsia" w:cs="Times New Roman"/>
          <w:sz w:val="21"/>
          <w:szCs w:val="21"/>
          <w:lang w:val="en-US" w:eastAsia="zh-CN"/>
        </w:rPr>
        <w:t>不大</w:t>
      </w:r>
      <w:r>
        <w:rPr>
          <w:rFonts w:hint="eastAsia" w:hAnsi="Times New Roman" w:eastAsia="宋体" w:cs="Times New Roman"/>
          <w:sz w:val="21"/>
          <w:szCs w:val="21"/>
          <w:lang w:val="en-US" w:eastAsia="zh-CN"/>
        </w:rPr>
        <w:t>于L处安设分站，如图5。</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sz w:val="21"/>
          <w:szCs w:val="21"/>
          <w:lang w:val="en-US" w:eastAsia="zh-CN" w:bidi="ar-SA"/>
        </w:rPr>
      </w:pP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bidi="ar-SA"/>
        </w:rPr>
        <w:drawing>
          <wp:inline distT="0" distB="0" distL="114300" distR="114300">
            <wp:extent cx="2449830" cy="4593590"/>
            <wp:effectExtent l="0" t="0" r="16510" b="7620"/>
            <wp:docPr id="7" name="图片 22" descr="岔口基站布置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2" descr="岔口基站布置_00"/>
                    <pic:cNvPicPr>
                      <a:picLocks noChangeAspect="1"/>
                    </pic:cNvPicPr>
                  </pic:nvPicPr>
                  <pic:blipFill>
                    <a:blip r:embed="rId26"/>
                    <a:srcRect l="10553" t="5659" r="26921" b="11443"/>
                    <a:stretch>
                      <a:fillRect/>
                    </a:stretch>
                  </pic:blipFill>
                  <pic:spPr>
                    <a:xfrm rot="-5400000">
                      <a:off x="0" y="0"/>
                      <a:ext cx="2449830" cy="4593590"/>
                    </a:xfrm>
                    <a:prstGeom prst="rect">
                      <a:avLst/>
                    </a:prstGeom>
                    <a:noFill/>
                    <a:ln>
                      <a:noFill/>
                    </a:ln>
                  </pic:spPr>
                </pic:pic>
              </a:graphicData>
            </a:graphic>
          </wp:inline>
        </w:drawing>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sz w:val="21"/>
          <w:szCs w:val="21"/>
          <w:lang w:val="en-US" w:eastAsia="zh-CN"/>
        </w:rPr>
      </w:pP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rPr>
        <w:t>图5 巷道分岔口分站位置要求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outlineLvl w:val="9"/>
        <w:rPr>
          <w:rFonts w:hint="eastAsia" w:ascii="黑体" w:hAnsi="黑体" w:eastAsia="黑体" w:cs="黑体"/>
          <w:sz w:val="21"/>
          <w:szCs w:val="21"/>
          <w:lang w:val="en-US" w:eastAsia="zh-CN" w:bidi="ar-SA"/>
        </w:rPr>
      </w:pPr>
    </w:p>
    <w:p>
      <w:pPr>
        <w:pStyle w:val="29"/>
        <w:keepNext w:val="0"/>
        <w:keepLines w:val="0"/>
        <w:pageBreakBefore w:val="0"/>
        <w:widowControl w:val="0"/>
        <w:kinsoku/>
        <w:wordWrap/>
        <w:overflowPunct/>
        <w:topLinePunct w:val="0"/>
        <w:autoSpaceDE w:val="0"/>
        <w:autoSpaceDN w:val="0"/>
        <w:bidi w:val="0"/>
        <w:adjustRightInd/>
        <w:snapToGrid/>
        <w:spacing w:before="156" w:beforeLines="50" w:after="156" w:afterLines="50"/>
        <w:ind w:firstLine="0" w:firstLineChars="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5.2  安装要求</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5.2.1 </w:t>
      </w:r>
      <w:r>
        <w:rPr>
          <w:rFonts w:hint="eastAsia" w:hAnsi="Times New Roman" w:eastAsia="宋体" w:cs="Times New Roman"/>
          <w:sz w:val="21"/>
          <w:szCs w:val="21"/>
          <w:lang w:val="en-US" w:eastAsia="zh-CN"/>
        </w:rPr>
        <w:t xml:space="preserve"> 应根据矿山开采的实际情况，对设备的种类、数量、位置和电缆、光缆、信号线、网线的敷设等做出明确要求，并绘制设备安装布置图和设备连接图，并当系统发生变化时应及时修改。</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5.2.2 </w:t>
      </w:r>
      <w:r>
        <w:rPr>
          <w:rFonts w:hint="eastAsia" w:hAnsi="Times New Roman" w:eastAsia="宋体" w:cs="Times New Roman"/>
          <w:sz w:val="21"/>
          <w:szCs w:val="21"/>
          <w:lang w:val="en-US" w:eastAsia="zh-CN"/>
        </w:rPr>
        <w:t xml:space="preserve"> 分站应设置在便于人员观察、调试、检验及支护良好、无淋水、无杂物的巷道或硐室中，安装维护方便，不影响行人和行车为宜。</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5.2.3 </w:t>
      </w:r>
      <w:r>
        <w:rPr>
          <w:rFonts w:hint="eastAsia" w:hAnsi="Times New Roman" w:eastAsia="宋体" w:cs="Times New Roman"/>
          <w:sz w:val="21"/>
          <w:szCs w:val="21"/>
          <w:lang w:val="en-US" w:eastAsia="zh-CN"/>
        </w:rPr>
        <w:t xml:space="preserve"> 定位天线应垂直悬挂于巷道或硐室中的人行侧且靠近顶板及帮侧，以定位信号不被遮挡，安装牢固，不影响行人和行车为宜。</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bidi="ar-SA"/>
        </w:rPr>
        <w:t xml:space="preserve">5.2.4  </w:t>
      </w:r>
      <w:r>
        <w:rPr>
          <w:rFonts w:hint="eastAsia" w:hAnsi="Times New Roman" w:eastAsia="宋体" w:cs="Times New Roman"/>
          <w:sz w:val="21"/>
          <w:szCs w:val="21"/>
          <w:lang w:val="en-US" w:eastAsia="zh-CN"/>
        </w:rPr>
        <w:t>分站应悬挂编号信息，并与存档资料信息一致，分站编号应悬挂于分站旁明显位置。</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default"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5.2.5  </w:t>
      </w:r>
      <w:r>
        <w:rPr>
          <w:rFonts w:hint="eastAsia" w:hAnsi="Times New Roman" w:eastAsia="宋体" w:cs="Times New Roman"/>
          <w:sz w:val="21"/>
          <w:szCs w:val="21"/>
          <w:lang w:val="en-US" w:eastAsia="zh-CN"/>
        </w:rPr>
        <w:t>集中供电设备应安装牢固，不应影响变压器、高压配电柜、硐室照明开关等设备设施的检修和使用。</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r>
        <w:rPr>
          <w:rFonts w:hint="eastAsia" w:ascii="黑体" w:hAnsi="黑体" w:eastAsia="黑体" w:cs="黑体"/>
          <w:sz w:val="21"/>
          <w:szCs w:val="21"/>
          <w:lang w:val="en-US" w:eastAsia="zh-CN" w:bidi="ar-SA"/>
        </w:rPr>
        <w:t xml:space="preserve">5.2.6  </w:t>
      </w:r>
      <w:r>
        <w:rPr>
          <w:rFonts w:hint="eastAsia" w:hAnsi="Times New Roman" w:eastAsia="宋体" w:cs="Times New Roman"/>
          <w:sz w:val="21"/>
          <w:szCs w:val="21"/>
          <w:lang w:val="en-US" w:eastAsia="zh-CN"/>
        </w:rPr>
        <w:t>电缆</w:t>
      </w:r>
      <w:r>
        <w:rPr>
          <w:rFonts w:hint="eastAsia" w:cs="Times New Roman"/>
          <w:sz w:val="21"/>
          <w:szCs w:val="21"/>
          <w:lang w:val="en-US" w:eastAsia="zh-CN"/>
        </w:rPr>
        <w:t>敷设</w:t>
      </w:r>
      <w:r>
        <w:rPr>
          <w:rFonts w:hint="eastAsia" w:hAnsi="Times New Roman" w:eastAsia="宋体" w:cs="Times New Roman"/>
          <w:sz w:val="21"/>
          <w:szCs w:val="21"/>
          <w:lang w:val="en-US" w:eastAsia="zh-CN"/>
        </w:rPr>
        <w:t xml:space="preserve">应符合 </w:t>
      </w:r>
      <w:r>
        <w:rPr>
          <w:rFonts w:hint="eastAsia" w:ascii="黑体" w:hAnsi="黑体" w:eastAsia="黑体" w:cs="黑体"/>
          <w:sz w:val="21"/>
          <w:szCs w:val="21"/>
        </w:rPr>
        <w:t>GB1642</w:t>
      </w:r>
      <w:r>
        <w:rPr>
          <w:rFonts w:hint="eastAsia" w:ascii="黑体" w:hAnsi="黑体" w:eastAsia="黑体" w:cs="黑体"/>
          <w:sz w:val="21"/>
          <w:szCs w:val="21"/>
          <w:lang w:val="en-US" w:eastAsia="zh-CN"/>
        </w:rPr>
        <w:t xml:space="preserve">3 </w:t>
      </w:r>
      <w:r>
        <w:rPr>
          <w:rFonts w:hint="eastAsia" w:hAnsi="Times New Roman" w:eastAsia="宋体" w:cs="Times New Roman"/>
          <w:sz w:val="21"/>
          <w:szCs w:val="21"/>
          <w:lang w:val="en-US" w:eastAsia="zh-CN"/>
        </w:rPr>
        <w:t>的规定。</w:t>
      </w:r>
    </w:p>
    <w:p>
      <w:pPr>
        <w:spacing w:before="312" w:beforeLines="100" w:after="312" w:afterLines="100"/>
        <w:outlineLvl w:val="0"/>
        <w:rPr>
          <w:rFonts w:hint="eastAsia" w:ascii="黑体" w:hAnsi="黑体" w:eastAsia="黑体" w:cs="Times New Roman"/>
          <w:szCs w:val="21"/>
          <w:lang w:val="en-US" w:eastAsia="zh-CN"/>
        </w:rPr>
      </w:pPr>
      <w:bookmarkStart w:id="14" w:name="_Toc31829"/>
      <w:r>
        <w:rPr>
          <w:rFonts w:hint="eastAsia" w:ascii="黑体" w:hAnsi="黑体" w:eastAsia="黑体" w:cs="Times New Roman"/>
          <w:szCs w:val="21"/>
          <w:lang w:val="en-US" w:eastAsia="zh-CN"/>
        </w:rPr>
        <w:t>6  使用与维护</w:t>
      </w:r>
      <w:bookmarkEnd w:id="14"/>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6.1 </w:t>
      </w:r>
      <w:r>
        <w:rPr>
          <w:rFonts w:hint="eastAsia" w:hAnsi="Times New Roman" w:eastAsia="宋体" w:cs="Times New Roman"/>
          <w:color w:val="auto"/>
          <w:sz w:val="21"/>
          <w:szCs w:val="21"/>
          <w:lang w:val="en-US" w:eastAsia="zh-CN"/>
        </w:rPr>
        <w:t xml:space="preserve"> 矿山应明确管理</w:t>
      </w:r>
      <w:r>
        <w:rPr>
          <w:rFonts w:hint="eastAsia" w:cs="Times New Roman"/>
          <w:color w:val="auto"/>
          <w:sz w:val="21"/>
          <w:szCs w:val="21"/>
          <w:lang w:val="en-US" w:eastAsia="zh-CN"/>
        </w:rPr>
        <w:t>机构或</w:t>
      </w:r>
      <w:r>
        <w:rPr>
          <w:rFonts w:hint="eastAsia" w:hAnsi="Times New Roman" w:eastAsia="宋体" w:cs="Times New Roman"/>
          <w:color w:val="auto"/>
          <w:sz w:val="21"/>
          <w:szCs w:val="21"/>
          <w:lang w:val="en-US" w:eastAsia="zh-CN"/>
        </w:rPr>
        <w:t>配备专门技术人员</w:t>
      </w:r>
      <w:r>
        <w:rPr>
          <w:rFonts w:hint="eastAsia" w:cs="Times New Roman"/>
          <w:color w:val="auto"/>
          <w:sz w:val="21"/>
          <w:szCs w:val="21"/>
          <w:lang w:val="en-US" w:eastAsia="zh-CN"/>
        </w:rPr>
        <w:t>管理系统</w:t>
      </w:r>
      <w:r>
        <w:rPr>
          <w:rFonts w:hint="eastAsia" w:hAnsi="Times New Roman" w:eastAsia="宋体" w:cs="Times New Roman"/>
          <w:color w:val="auto"/>
          <w:sz w:val="21"/>
          <w:szCs w:val="21"/>
          <w:lang w:val="en-US" w:eastAsia="zh-CN"/>
        </w:rPr>
        <w:t>，建立</w:t>
      </w:r>
      <w:r>
        <w:rPr>
          <w:rFonts w:hint="eastAsia" w:cs="Times New Roman"/>
          <w:color w:val="auto"/>
          <w:sz w:val="21"/>
          <w:szCs w:val="21"/>
          <w:lang w:val="en-US" w:eastAsia="zh-CN"/>
        </w:rPr>
        <w:t>健全</w:t>
      </w:r>
      <w:r>
        <w:rPr>
          <w:rFonts w:hint="eastAsia" w:hAnsi="Times New Roman" w:eastAsia="宋体" w:cs="Times New Roman"/>
          <w:color w:val="auto"/>
          <w:sz w:val="21"/>
          <w:szCs w:val="21"/>
          <w:lang w:val="en-US" w:eastAsia="zh-CN"/>
        </w:rPr>
        <w:t>管理制度。从事系统管理、维护、检修、值班人员应经专业培训考试合格，严禁非专业人士从事井下分站及相关线缆等设备设施的管理及维护。</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6.2</w:t>
      </w:r>
      <w:r>
        <w:rPr>
          <w:rFonts w:hint="eastAsia" w:hAnsi="Times New Roman" w:eastAsia="宋体" w:cs="Times New Roman"/>
          <w:color w:val="auto"/>
          <w:sz w:val="21"/>
          <w:szCs w:val="21"/>
          <w:lang w:val="en-US" w:eastAsia="zh-CN"/>
        </w:rPr>
        <w:t xml:space="preserve">  矿山应落实系统维护责任，不具备技术能力</w:t>
      </w:r>
      <w:r>
        <w:rPr>
          <w:rFonts w:hint="eastAsia" w:cs="Times New Roman"/>
          <w:color w:val="auto"/>
          <w:sz w:val="21"/>
          <w:szCs w:val="21"/>
          <w:lang w:val="en-US" w:eastAsia="zh-CN"/>
        </w:rPr>
        <w:t>的</w:t>
      </w:r>
      <w:r>
        <w:rPr>
          <w:rFonts w:hint="eastAsia" w:hAnsi="Times New Roman" w:eastAsia="宋体" w:cs="Times New Roman"/>
          <w:color w:val="auto"/>
          <w:sz w:val="21"/>
          <w:szCs w:val="21"/>
          <w:lang w:val="en-US" w:eastAsia="zh-CN"/>
        </w:rPr>
        <w:t>企业应委托技术单位进行系统维护和技术服务，保证系统正常稳定运行。</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黑体" w:hAnsi="黑体" w:eastAsia="黑体" w:cs="黑体"/>
          <w:color w:val="auto"/>
          <w:sz w:val="21"/>
          <w:szCs w:val="21"/>
          <w:lang w:val="en-US" w:eastAsia="zh-CN" w:bidi="ar-SA"/>
        </w:rPr>
      </w:pPr>
      <w:r>
        <w:rPr>
          <w:rFonts w:hint="eastAsia" w:ascii="黑体" w:hAnsi="黑体" w:eastAsia="黑体" w:cs="黑体"/>
          <w:color w:val="auto"/>
          <w:sz w:val="21"/>
          <w:szCs w:val="21"/>
          <w:lang w:val="en-US" w:eastAsia="zh-CN" w:bidi="ar-SA"/>
        </w:rPr>
        <w:t xml:space="preserve">6.3  </w:t>
      </w:r>
      <w:r>
        <w:rPr>
          <w:rFonts w:hint="eastAsia" w:hAnsi="Times New Roman" w:eastAsia="宋体" w:cs="Times New Roman"/>
          <w:color w:val="auto"/>
          <w:sz w:val="21"/>
          <w:szCs w:val="21"/>
          <w:lang w:val="en-US" w:eastAsia="zh-CN"/>
        </w:rPr>
        <w:t>矿山</w:t>
      </w:r>
      <w:r>
        <w:rPr>
          <w:rFonts w:hint="eastAsia" w:ascii="宋体" w:hAnsi="宋体" w:eastAsia="宋体" w:cs="宋体"/>
          <w:b w:val="0"/>
          <w:bCs w:val="0"/>
          <w:color w:val="auto"/>
          <w:sz w:val="21"/>
          <w:szCs w:val="21"/>
          <w:lang w:val="en-US" w:eastAsia="zh-CN"/>
        </w:rPr>
        <w:t>应定期对系统进行巡视和检查，发现故障及时处理</w:t>
      </w:r>
      <w:r>
        <w:rPr>
          <w:rFonts w:hint="eastAsia" w:hAnsi="宋体" w:eastAsia="宋体" w:cs="宋体"/>
          <w:b w:val="0"/>
          <w:bCs w:val="0"/>
          <w:color w:val="auto"/>
          <w:sz w:val="21"/>
          <w:szCs w:val="21"/>
          <w:lang w:val="en-US" w:eastAsia="zh-CN"/>
        </w:rPr>
        <w:t>，</w:t>
      </w:r>
      <w:r>
        <w:rPr>
          <w:rFonts w:hint="eastAsia" w:ascii="宋体" w:hAnsi="宋体" w:eastAsia="宋体" w:cs="宋体"/>
          <w:b w:val="0"/>
          <w:bCs w:val="0"/>
          <w:color w:val="auto"/>
          <w:sz w:val="21"/>
          <w:szCs w:val="21"/>
          <w:lang w:val="en-US" w:eastAsia="zh-CN"/>
        </w:rPr>
        <w:t>在故障期间</w:t>
      </w:r>
      <w:r>
        <w:rPr>
          <w:rFonts w:hint="eastAsia" w:hAnsi="宋体" w:eastAsia="宋体" w:cs="宋体"/>
          <w:b w:val="0"/>
          <w:bCs w:val="0"/>
          <w:color w:val="auto"/>
          <w:sz w:val="21"/>
          <w:szCs w:val="21"/>
          <w:lang w:val="en-US" w:eastAsia="zh-CN"/>
        </w:rPr>
        <w:t>做好</w:t>
      </w:r>
      <w:r>
        <w:rPr>
          <w:rFonts w:hint="eastAsia" w:ascii="宋体" w:hAnsi="宋体" w:eastAsia="宋体" w:cs="宋体"/>
          <w:b w:val="0"/>
          <w:bCs w:val="0"/>
          <w:color w:val="auto"/>
          <w:sz w:val="21"/>
          <w:szCs w:val="21"/>
          <w:lang w:val="en-US" w:eastAsia="zh-CN"/>
        </w:rPr>
        <w:t>人工监测</w:t>
      </w:r>
      <w:r>
        <w:rPr>
          <w:rFonts w:hint="eastAsia" w:hAnsi="宋体" w:eastAsia="宋体" w:cs="宋体"/>
          <w:b w:val="0"/>
          <w:bCs w:val="0"/>
          <w:color w:val="auto"/>
          <w:sz w:val="21"/>
          <w:szCs w:val="21"/>
          <w:lang w:val="en-US" w:eastAsia="zh-CN"/>
        </w:rPr>
        <w:t>及</w:t>
      </w:r>
      <w:r>
        <w:rPr>
          <w:rFonts w:hint="eastAsia" w:ascii="宋体" w:hAnsi="宋体" w:eastAsia="宋体" w:cs="宋体"/>
          <w:b w:val="0"/>
          <w:bCs w:val="0"/>
          <w:color w:val="auto"/>
          <w:sz w:val="21"/>
          <w:szCs w:val="21"/>
          <w:lang w:val="en-US" w:eastAsia="zh-CN"/>
        </w:rPr>
        <w:t>记录。</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6.4  </w:t>
      </w:r>
      <w:r>
        <w:rPr>
          <w:rFonts w:hint="eastAsia" w:hAnsi="Times New Roman" w:eastAsia="宋体" w:cs="Times New Roman"/>
          <w:color w:val="auto"/>
          <w:sz w:val="21"/>
          <w:szCs w:val="21"/>
          <w:lang w:val="en-US" w:eastAsia="zh-CN"/>
        </w:rPr>
        <w:t>矿山生产系统发生变化，应及时调整和补充完善人员精准定位系统，以便真实反映井下人员</w:t>
      </w:r>
      <w:r>
        <w:rPr>
          <w:rFonts w:hint="eastAsia" w:cs="Times New Roman"/>
          <w:color w:val="auto"/>
          <w:sz w:val="21"/>
          <w:szCs w:val="21"/>
          <w:lang w:val="en-US" w:eastAsia="zh-CN"/>
        </w:rPr>
        <w:t>定位</w:t>
      </w:r>
      <w:r>
        <w:rPr>
          <w:rFonts w:hint="eastAsia" w:hAnsi="Times New Roman" w:eastAsia="宋体" w:cs="Times New Roman"/>
          <w:color w:val="auto"/>
          <w:sz w:val="21"/>
          <w:szCs w:val="21"/>
          <w:lang w:val="en-US" w:eastAsia="zh-CN"/>
        </w:rPr>
        <w:t>情况。</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6.5 </w:t>
      </w:r>
      <w:r>
        <w:rPr>
          <w:rFonts w:hint="eastAsia" w:hAnsi="Times New Roman" w:eastAsia="宋体" w:cs="Times New Roman"/>
          <w:color w:val="auto"/>
          <w:sz w:val="21"/>
          <w:szCs w:val="21"/>
          <w:lang w:val="en-US" w:eastAsia="zh-CN"/>
        </w:rPr>
        <w:t xml:space="preserve"> 矿山每季度至少应测试一次备用电源的放电容量或备用工作时间。备用电源不能保证设备连续工作时间达到</w:t>
      </w:r>
      <w:r>
        <w:rPr>
          <w:rFonts w:hint="eastAsia" w:cs="Times New Roman"/>
          <w:color w:val="auto"/>
          <w:sz w:val="21"/>
          <w:szCs w:val="21"/>
          <w:lang w:val="en-US" w:eastAsia="zh-CN"/>
        </w:rPr>
        <w:t>2小时</w:t>
      </w:r>
      <w:r>
        <w:rPr>
          <w:rFonts w:hint="eastAsia" w:hAnsi="Times New Roman" w:eastAsia="宋体" w:cs="Times New Roman"/>
          <w:color w:val="auto"/>
          <w:sz w:val="21"/>
          <w:szCs w:val="21"/>
          <w:lang w:val="en-US" w:eastAsia="zh-CN"/>
        </w:rPr>
        <w:t>，应及时更换。</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6.6  </w:t>
      </w:r>
      <w:r>
        <w:rPr>
          <w:rFonts w:hint="eastAsia" w:cs="Times New Roman"/>
          <w:color w:val="auto"/>
          <w:sz w:val="21"/>
          <w:szCs w:val="21"/>
          <w:lang w:val="en-US" w:eastAsia="zh-CN"/>
        </w:rPr>
        <w:t>负责</w:t>
      </w:r>
      <w:r>
        <w:rPr>
          <w:rFonts w:hint="eastAsia" w:hAnsi="Times New Roman" w:eastAsia="宋体" w:cs="Times New Roman"/>
          <w:color w:val="auto"/>
          <w:sz w:val="21"/>
          <w:szCs w:val="21"/>
          <w:lang w:val="en-US" w:eastAsia="zh-CN"/>
        </w:rPr>
        <w:t>系统管理、维护、检修、值班人员应经培训合格后上岗，确保系统</w:t>
      </w:r>
      <w:r>
        <w:rPr>
          <w:rFonts w:hint="eastAsia" w:cs="Times New Roman"/>
          <w:color w:val="auto"/>
          <w:sz w:val="21"/>
          <w:szCs w:val="21"/>
          <w:lang w:val="en-US" w:eastAsia="zh-CN"/>
        </w:rPr>
        <w:t>运行</w:t>
      </w:r>
      <w:r>
        <w:rPr>
          <w:rFonts w:hint="eastAsia" w:hAnsi="Times New Roman" w:eastAsia="宋体" w:cs="Times New Roman"/>
          <w:color w:val="auto"/>
          <w:sz w:val="21"/>
          <w:szCs w:val="21"/>
          <w:lang w:val="en-US" w:eastAsia="zh-CN"/>
        </w:rPr>
        <w:t>正常。</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hAnsi="Times New Roman" w:eastAsia="宋体" w:cs="Times New Roman"/>
          <w:color w:val="auto"/>
          <w:sz w:val="21"/>
          <w:szCs w:val="21"/>
          <w:lang w:val="en-US" w:eastAsia="zh-CN"/>
        </w:rPr>
      </w:pPr>
      <w:r>
        <w:rPr>
          <w:rFonts w:hint="eastAsia" w:ascii="黑体" w:hAnsi="黑体" w:eastAsia="黑体" w:cs="黑体"/>
          <w:color w:val="auto"/>
          <w:sz w:val="21"/>
          <w:szCs w:val="21"/>
          <w:lang w:val="en-US" w:eastAsia="zh-CN" w:bidi="ar-SA"/>
        </w:rPr>
        <w:t xml:space="preserve">6.7  </w:t>
      </w:r>
      <w:r>
        <w:rPr>
          <w:rFonts w:hint="eastAsia" w:hAnsi="Times New Roman" w:eastAsia="宋体" w:cs="Times New Roman"/>
          <w:color w:val="auto"/>
          <w:sz w:val="21"/>
          <w:szCs w:val="21"/>
          <w:lang w:val="en-US" w:eastAsia="zh-CN"/>
        </w:rPr>
        <w:t>地面监控中心应24小时有人值班。值班人员应认真监视系统信息，详细记录系统运行状态，接收安全生产风险监测预警系统政府端的指令</w:t>
      </w:r>
      <w:r>
        <w:rPr>
          <w:rFonts w:hint="eastAsia" w:cs="Times New Roman"/>
          <w:color w:val="auto"/>
          <w:sz w:val="21"/>
          <w:szCs w:val="21"/>
          <w:lang w:val="en-US" w:eastAsia="zh-CN"/>
        </w:rPr>
        <w:t>并</w:t>
      </w:r>
      <w:r>
        <w:rPr>
          <w:rFonts w:hint="eastAsia" w:hAnsi="Times New Roman" w:eastAsia="宋体" w:cs="Times New Roman"/>
          <w:color w:val="auto"/>
          <w:sz w:val="21"/>
          <w:szCs w:val="21"/>
          <w:lang w:val="en-US" w:eastAsia="zh-CN"/>
        </w:rPr>
        <w:t>及时进行处理，填写运行日志，打印系统运行日报表</w:t>
      </w:r>
      <w:r>
        <w:rPr>
          <w:rFonts w:hint="eastAsia" w:cs="Times New Roman"/>
          <w:color w:val="auto"/>
          <w:sz w:val="21"/>
          <w:szCs w:val="21"/>
          <w:lang w:val="en-US" w:eastAsia="zh-CN"/>
        </w:rPr>
        <w:t>，按要求</w:t>
      </w:r>
      <w:r>
        <w:rPr>
          <w:rFonts w:hint="eastAsia" w:hAnsi="Times New Roman" w:eastAsia="宋体" w:cs="Times New Roman"/>
          <w:color w:val="auto"/>
          <w:sz w:val="21"/>
          <w:szCs w:val="21"/>
          <w:lang w:val="en-US" w:eastAsia="zh-CN"/>
        </w:rPr>
        <w:t>存档。</w:t>
      </w:r>
    </w:p>
    <w:p>
      <w:pPr>
        <w:spacing w:before="312" w:beforeLines="100" w:after="312" w:afterLines="100"/>
        <w:outlineLvl w:val="0"/>
        <w:rPr>
          <w:rFonts w:hint="eastAsia" w:ascii="黑体" w:hAnsi="黑体" w:eastAsia="黑体" w:cs="Times New Roman"/>
          <w:szCs w:val="21"/>
          <w:lang w:val="en-US" w:eastAsia="zh-CN"/>
        </w:rPr>
      </w:pPr>
      <w:bookmarkStart w:id="15" w:name="_Toc23823"/>
      <w:r>
        <w:rPr>
          <w:rFonts w:hint="eastAsia" w:ascii="黑体" w:hAnsi="黑体" w:eastAsia="黑体" w:cs="Times New Roman"/>
          <w:szCs w:val="21"/>
          <w:lang w:val="en-US" w:eastAsia="zh-CN"/>
        </w:rPr>
        <w:t>7  其他</w:t>
      </w:r>
      <w:bookmarkEnd w:id="15"/>
    </w:p>
    <w:p>
      <w:pPr>
        <w:pStyle w:val="29"/>
        <w:keepNext w:val="0"/>
        <w:keepLines w:val="0"/>
        <w:pageBreakBefore w:val="0"/>
        <w:widowControl w:val="0"/>
        <w:kinsoku/>
        <w:wordWrap/>
        <w:overflowPunct/>
        <w:topLinePunct w:val="0"/>
        <w:autoSpaceDE w:val="0"/>
        <w:autoSpaceDN w:val="0"/>
        <w:bidi w:val="0"/>
        <w:adjustRightInd/>
        <w:snapToGrid/>
        <w:spacing w:before="283" w:after="156" w:afterLines="50"/>
        <w:ind w:firstLine="0" w:firstLineChars="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7.1  图纸和资料</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hAnsi="Times New Roman" w:eastAsia="宋体" w:cs="Times New Roman"/>
          <w:sz w:val="21"/>
          <w:szCs w:val="21"/>
          <w:lang w:val="en-US" w:eastAsia="zh-CN"/>
        </w:rPr>
        <w:t>图纸、技术资料应进行存档。</w:t>
      </w:r>
    </w:p>
    <w:p>
      <w:pPr>
        <w:pStyle w:val="29"/>
        <w:keepNext w:val="0"/>
        <w:keepLines w:val="0"/>
        <w:pageBreakBefore w:val="0"/>
        <w:widowControl w:val="0"/>
        <w:kinsoku/>
        <w:wordWrap/>
        <w:overflowPunct/>
        <w:topLinePunct w:val="0"/>
        <w:autoSpaceDE w:val="0"/>
        <w:autoSpaceDN w:val="0"/>
        <w:bidi w:val="0"/>
        <w:adjustRightInd/>
        <w:snapToGrid/>
        <w:spacing w:before="156" w:beforeLines="50" w:after="156" w:afterLines="50"/>
        <w:ind w:firstLine="0" w:firstLineChars="0"/>
        <w:textAlignment w:val="auto"/>
        <w:outlineLvl w:val="9"/>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7.2  备件</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r>
        <w:rPr>
          <w:rFonts w:hint="eastAsia" w:hAnsi="Times New Roman" w:eastAsia="宋体" w:cs="Times New Roman"/>
          <w:sz w:val="21"/>
          <w:szCs w:val="21"/>
          <w:lang w:val="en-US" w:eastAsia="zh-CN"/>
        </w:rPr>
        <w:t>矿山应配置备用人员识别卡，数量不少于本矿下井人员总数的 10%。</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default" w:hAnsi="Times New Roman" w:eastAsia="宋体" w:cs="Times New Roman"/>
          <w:sz w:val="21"/>
          <w:szCs w:val="21"/>
          <w:lang w:val="en-US" w:eastAsia="zh-CN"/>
        </w:rPr>
      </w:pPr>
      <w:r>
        <w:rPr>
          <w:rFonts w:hint="eastAsia" w:hAnsi="Times New Roman" w:eastAsia="宋体" w:cs="Times New Roman"/>
          <w:sz w:val="21"/>
          <w:szCs w:val="21"/>
          <w:lang w:val="en-US" w:eastAsia="zh-CN"/>
        </w:rPr>
        <w:t>矿山应配备备用分站，数量应不少于2台。</w:t>
      </w:r>
    </w:p>
    <w:p>
      <w:pPr>
        <w:pStyle w:val="29"/>
        <w:keepNext w:val="0"/>
        <w:keepLines w:val="0"/>
        <w:pageBreakBefore w:val="0"/>
        <w:widowControl w:val="0"/>
        <w:kinsoku/>
        <w:wordWrap/>
        <w:overflowPunct/>
        <w:topLinePunct w:val="0"/>
        <w:autoSpaceDE w:val="0"/>
        <w:autoSpaceDN w:val="0"/>
        <w:bidi w:val="0"/>
        <w:adjustRightInd/>
        <w:snapToGrid/>
        <w:spacing w:before="156" w:beforeLines="50" w:after="156" w:afterLines="50"/>
        <w:ind w:firstLine="0" w:firstLineChars="0"/>
        <w:textAlignment w:val="auto"/>
        <w:outlineLvl w:val="9"/>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7.3  升级改造</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default" w:hAnsi="Times New Roman" w:eastAsia="宋体" w:cs="Times New Roman"/>
          <w:sz w:val="21"/>
          <w:szCs w:val="21"/>
          <w:lang w:val="en-US" w:eastAsia="zh-CN"/>
        </w:rPr>
      </w:pPr>
      <w:r>
        <w:rPr>
          <w:rFonts w:hint="eastAsia" w:cs="Times New Roman"/>
          <w:sz w:val="21"/>
          <w:szCs w:val="21"/>
          <w:lang w:val="en-US" w:eastAsia="zh-CN"/>
        </w:rPr>
        <w:t>国家、省或有关监管部门提出新技术、新要求时</w:t>
      </w:r>
      <w:r>
        <w:rPr>
          <w:rFonts w:hint="eastAsia" w:hAnsi="Times New Roman" w:eastAsia="宋体" w:cs="Times New Roman"/>
          <w:sz w:val="21"/>
          <w:szCs w:val="21"/>
          <w:lang w:val="en-US" w:eastAsia="zh-CN"/>
        </w:rPr>
        <w:t>，应</w:t>
      </w:r>
      <w:r>
        <w:rPr>
          <w:rFonts w:hint="eastAsia" w:cs="Times New Roman"/>
          <w:sz w:val="21"/>
          <w:szCs w:val="21"/>
          <w:lang w:val="en-US" w:eastAsia="zh-CN"/>
        </w:rPr>
        <w:t>及时</w:t>
      </w:r>
      <w:r>
        <w:rPr>
          <w:rFonts w:hint="eastAsia" w:hAnsi="Times New Roman" w:eastAsia="宋体" w:cs="Times New Roman"/>
          <w:sz w:val="21"/>
          <w:szCs w:val="21"/>
          <w:lang w:val="en-US" w:eastAsia="zh-CN"/>
        </w:rPr>
        <w:t>进行升级改造。</w:t>
      </w: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p>
    <w:p>
      <w:pPr>
        <w:rPr>
          <w:rFonts w:hint="eastAsia" w:hAnsi="Times New Roman" w:eastAsia="宋体" w:cs="Times New Roman"/>
          <w:sz w:val="21"/>
          <w:szCs w:val="21"/>
          <w:lang w:val="en-US" w:eastAsia="zh-CN"/>
        </w:rPr>
      </w:pPr>
      <w:r>
        <w:rPr>
          <w:rFonts w:hint="eastAsia" w:hAnsi="Times New Roman" w:eastAsia="宋体" w:cs="Times New Roman"/>
          <w:sz w:val="21"/>
          <w:szCs w:val="21"/>
          <w:lang w:val="en-US" w:eastAsia="zh-CN"/>
        </w:rPr>
        <w:br w:type="page"/>
      </w:r>
    </w:p>
    <w:p>
      <w:pPr>
        <w:pStyle w:val="29"/>
        <w:keepNext w:val="0"/>
        <w:keepLines w:val="0"/>
        <w:pageBreakBefore/>
        <w:widowControl w:val="0"/>
        <w:kinsoku/>
        <w:wordWrap/>
        <w:overflowPunct/>
        <w:topLinePunct w:val="0"/>
        <w:autoSpaceDE w:val="0"/>
        <w:autoSpaceDN w:val="0"/>
        <w:bidi w:val="0"/>
        <w:adjustRightInd/>
        <w:snapToGrid/>
        <w:spacing w:before="850" w:after="283"/>
        <w:ind w:firstLine="0" w:firstLineChars="0"/>
        <w:jc w:val="center"/>
        <w:textAlignment w:val="auto"/>
        <w:outlineLvl w:val="0"/>
        <w:rPr>
          <w:rFonts w:hint="eastAsia" w:ascii="黑体" w:hAnsi="黑体" w:eastAsia="黑体" w:cs="黑体"/>
          <w:sz w:val="21"/>
          <w:szCs w:val="21"/>
          <w:lang w:val="en-US" w:eastAsia="zh-CN"/>
        </w:rPr>
      </w:pPr>
      <w:bookmarkStart w:id="16" w:name="_Toc29444"/>
      <w:bookmarkStart w:id="17" w:name="_Toc21920"/>
      <w:r>
        <w:rPr>
          <w:rFonts w:hint="eastAsia" w:ascii="黑体" w:hAnsi="黑体" w:eastAsia="黑体" w:cs="黑体"/>
          <w:sz w:val="21"/>
          <w:szCs w:val="21"/>
          <w:lang w:val="en-US" w:eastAsia="zh-CN"/>
        </w:rPr>
        <w:t>参考文献</w:t>
      </w:r>
      <w:bookmarkEnd w:id="16"/>
      <w:bookmarkEnd w:id="17"/>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 xml:space="preserve"> </w:t>
      </w:r>
      <w:r>
        <w:rPr>
          <w:rFonts w:hint="default" w:hAnsi="宋体" w:cs="宋体"/>
          <w:sz w:val="21"/>
          <w:szCs w:val="21"/>
          <w:lang w:val="en-US" w:eastAsia="zh-CN"/>
        </w:rPr>
        <w:t>AQ1048-2007</w:t>
      </w:r>
      <w:r>
        <w:rPr>
          <w:rFonts w:hint="eastAsia" w:hAnsi="宋体" w:cs="宋体"/>
          <w:sz w:val="21"/>
          <w:szCs w:val="21"/>
          <w:lang w:val="en-US" w:eastAsia="zh-CN"/>
        </w:rPr>
        <w:t xml:space="preserve">  煤矿井下作业人员管理系统使用与管理规范</w:t>
      </w:r>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 xml:space="preserve"> </w:t>
      </w:r>
      <w:r>
        <w:rPr>
          <w:rFonts w:hint="default" w:hAnsi="宋体" w:cs="宋体"/>
          <w:sz w:val="21"/>
          <w:szCs w:val="21"/>
          <w:lang w:val="en-US" w:eastAsia="zh-CN"/>
        </w:rPr>
        <w:t>AQ6210-2007</w:t>
      </w:r>
      <w:r>
        <w:rPr>
          <w:rFonts w:hint="eastAsia" w:hAnsi="宋体" w:cs="宋体"/>
          <w:sz w:val="21"/>
          <w:szCs w:val="21"/>
          <w:lang w:val="en-US" w:eastAsia="zh-CN"/>
        </w:rPr>
        <w:t xml:space="preserve">  煤矿井下作业人员管理系统通用技术条件</w:t>
      </w:r>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 xml:space="preserve"> </w:t>
      </w:r>
      <w:r>
        <w:rPr>
          <w:rFonts w:hint="default" w:hAnsi="宋体" w:cs="宋体"/>
          <w:sz w:val="21"/>
          <w:szCs w:val="21"/>
          <w:lang w:val="en-US" w:eastAsia="zh-CN"/>
        </w:rPr>
        <w:t>AQ</w:t>
      </w:r>
      <w:r>
        <w:rPr>
          <w:rFonts w:hint="eastAsia" w:hAnsi="宋体" w:cs="宋体"/>
          <w:sz w:val="21"/>
          <w:szCs w:val="21"/>
          <w:lang w:val="en-US" w:eastAsia="zh-CN"/>
        </w:rPr>
        <w:t>/</w:t>
      </w:r>
      <w:r>
        <w:rPr>
          <w:rFonts w:hint="default" w:hAnsi="宋体" w:cs="宋体"/>
          <w:sz w:val="21"/>
          <w:szCs w:val="21"/>
          <w:lang w:val="en-US" w:eastAsia="zh-CN"/>
        </w:rPr>
        <w:t>T 2051-2016</w:t>
      </w:r>
      <w:r>
        <w:rPr>
          <w:rFonts w:hint="eastAsia" w:hAnsi="宋体" w:cs="宋体"/>
          <w:sz w:val="21"/>
          <w:szCs w:val="21"/>
          <w:lang w:val="en-US" w:eastAsia="zh-CN"/>
        </w:rPr>
        <w:t xml:space="preserve">  </w:t>
      </w:r>
      <w:r>
        <w:rPr>
          <w:rFonts w:hint="default" w:hAnsi="宋体" w:cs="宋体"/>
          <w:sz w:val="21"/>
          <w:szCs w:val="21"/>
          <w:lang w:val="en-US" w:eastAsia="zh-CN"/>
        </w:rPr>
        <w:t>金属非金属地下矿山人员定位系统通用技术要求</w:t>
      </w:r>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 xml:space="preserve"> </w:t>
      </w:r>
      <w:r>
        <w:rPr>
          <w:rFonts w:hint="default" w:hAnsi="宋体" w:cs="宋体"/>
          <w:sz w:val="21"/>
          <w:szCs w:val="21"/>
          <w:lang w:val="en-US" w:eastAsia="zh-CN"/>
        </w:rPr>
        <w:t>DB51/T1412—2011</w:t>
      </w:r>
      <w:r>
        <w:rPr>
          <w:rFonts w:hint="eastAsia" w:hAnsi="宋体" w:cs="宋体"/>
          <w:sz w:val="21"/>
          <w:szCs w:val="21"/>
          <w:lang w:val="en-US" w:eastAsia="zh-CN"/>
        </w:rPr>
        <w:t xml:space="preserve">  煤矿井下人员定位系统安全技术规范</w:t>
      </w:r>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 xml:space="preserve"> 矿安〔2022〕4号  国家矿山安全监察局关于印发《关于加强非煤矿山安全生产工作的指导意见》的通知</w:t>
      </w:r>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 xml:space="preserve"> 安监总规划字[2005]83号  《关于金属与非金属矿山实施矿用产品安全标志管理的通知》</w:t>
      </w:r>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eastAsia" w:hAnsi="宋体" w:cs="宋体"/>
          <w:sz w:val="21"/>
          <w:szCs w:val="21"/>
          <w:lang w:val="en-US" w:eastAsia="zh-CN"/>
        </w:rPr>
      </w:pPr>
      <w:r>
        <w:rPr>
          <w:rFonts w:hint="eastAsia" w:hAnsi="宋体" w:cs="宋体"/>
          <w:sz w:val="21"/>
          <w:szCs w:val="21"/>
          <w:lang w:val="en-US" w:eastAsia="zh-CN"/>
        </w:rPr>
        <w:t xml:space="preserve"> </w:t>
      </w:r>
      <w:r>
        <w:rPr>
          <w:rFonts w:hint="default" w:hAnsi="宋体" w:cs="宋体"/>
          <w:sz w:val="21"/>
          <w:szCs w:val="21"/>
          <w:lang w:val="en-US" w:eastAsia="zh-CN"/>
        </w:rPr>
        <w:t>安标国家中心〔2021〕58号</w:t>
      </w:r>
      <w:r>
        <w:rPr>
          <w:rFonts w:hint="eastAsia" w:hAnsi="宋体" w:cs="宋体"/>
          <w:sz w:val="21"/>
          <w:szCs w:val="21"/>
          <w:lang w:val="en-US" w:eastAsia="zh-CN"/>
        </w:rPr>
        <w:t xml:space="preserve">  关于发布《煤矿井下人员定位系统安全标志管理方案（试行）》</w:t>
      </w:r>
    </w:p>
    <w:p>
      <w:pPr>
        <w:pStyle w:val="29"/>
        <w:keepNext w:val="0"/>
        <w:keepLines w:val="0"/>
        <w:pageBreakBefore w:val="0"/>
        <w:widowControl w:val="0"/>
        <w:numPr>
          <w:ilvl w:val="0"/>
          <w:numId w:val="0"/>
        </w:numPr>
        <w:kinsoku/>
        <w:wordWrap/>
        <w:overflowPunct/>
        <w:topLinePunct w:val="0"/>
        <w:autoSpaceDE w:val="0"/>
        <w:autoSpaceDN w:val="0"/>
        <w:bidi w:val="0"/>
        <w:adjustRightInd/>
        <w:snapToGrid/>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《煤矿井下人员定位系统安全技术要求（试行）》《煤矿井下人员定位系统安全标志检验方案（试行）》的通知</w:t>
      </w:r>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 xml:space="preserve"> </w:t>
      </w:r>
      <w:r>
        <w:rPr>
          <w:rFonts w:hint="default" w:hAnsi="宋体" w:cs="宋体"/>
          <w:sz w:val="21"/>
          <w:szCs w:val="21"/>
          <w:lang w:val="en-US" w:eastAsia="zh-CN"/>
        </w:rPr>
        <w:t>冀应急函〔2021〕43号</w:t>
      </w:r>
      <w:r>
        <w:rPr>
          <w:rFonts w:hint="eastAsia" w:hAnsi="宋体" w:cs="宋体"/>
          <w:sz w:val="21"/>
          <w:szCs w:val="21"/>
          <w:lang w:val="en-US" w:eastAsia="zh-CN"/>
        </w:rPr>
        <w:t xml:space="preserve">  河北省应急管理厅关于建设完善金属非金属矿山安全生产风险监测预警系统的通知</w:t>
      </w:r>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 xml:space="preserve"> </w:t>
      </w:r>
      <w:r>
        <w:rPr>
          <w:rFonts w:hint="default" w:hAnsi="宋体" w:cs="宋体"/>
          <w:sz w:val="21"/>
          <w:szCs w:val="21"/>
          <w:lang w:val="en-US" w:eastAsia="zh-CN"/>
        </w:rPr>
        <w:t>冀应急函〔2021〕</w:t>
      </w:r>
      <w:r>
        <w:rPr>
          <w:rFonts w:hint="eastAsia" w:hAnsi="宋体" w:cs="宋体"/>
          <w:sz w:val="21"/>
          <w:szCs w:val="21"/>
          <w:lang w:val="en-US" w:eastAsia="zh-CN"/>
        </w:rPr>
        <w:t>54</w:t>
      </w:r>
      <w:r>
        <w:rPr>
          <w:rFonts w:hint="default" w:hAnsi="宋体" w:cs="宋体"/>
          <w:sz w:val="21"/>
          <w:szCs w:val="21"/>
          <w:lang w:val="en-US" w:eastAsia="zh-CN"/>
        </w:rPr>
        <w:t>号</w:t>
      </w:r>
      <w:r>
        <w:rPr>
          <w:rFonts w:hint="eastAsia" w:hAnsi="宋体" w:cs="宋体"/>
          <w:sz w:val="21"/>
          <w:szCs w:val="21"/>
          <w:lang w:val="en-US" w:eastAsia="zh-CN"/>
        </w:rPr>
        <w:t xml:space="preserve">  河北省应急管理厅关于《河北省金属非金属矿山安全生产风险监测预警系统企业端建设方案》的通知</w:t>
      </w:r>
    </w:p>
    <w:p>
      <w:pPr>
        <w:pStyle w:val="29"/>
        <w:keepNext w:val="0"/>
        <w:keepLines w:val="0"/>
        <w:pageBreakBefore w:val="0"/>
        <w:widowControl w:val="0"/>
        <w:numPr>
          <w:ilvl w:val="0"/>
          <w:numId w:val="1"/>
        </w:numPr>
        <w:kinsoku/>
        <w:wordWrap/>
        <w:overflowPunct/>
        <w:topLinePunct w:val="0"/>
        <w:autoSpaceDE w:val="0"/>
        <w:autoSpaceDN w:val="0"/>
        <w:bidi w:val="0"/>
        <w:adjustRightInd/>
        <w:snapToGrid/>
        <w:ind w:firstLine="420" w:firstLineChars="200"/>
        <w:jc w:val="left"/>
        <w:textAlignment w:val="auto"/>
        <w:outlineLvl w:val="9"/>
        <w:rPr>
          <w:rFonts w:hint="default" w:hAnsi="宋体" w:cs="宋体"/>
          <w:sz w:val="21"/>
          <w:szCs w:val="21"/>
          <w:lang w:val="en-US" w:eastAsia="zh-CN"/>
        </w:rPr>
      </w:pPr>
      <w:r>
        <w:rPr>
          <w:rFonts w:hint="eastAsia" w:hAnsi="宋体" w:cs="宋体"/>
          <w:sz w:val="21"/>
          <w:szCs w:val="21"/>
          <w:lang w:val="en-US" w:eastAsia="zh-CN"/>
        </w:rPr>
        <w:t xml:space="preserve"> 鲁煤监技装</w:t>
      </w:r>
      <w:r>
        <w:rPr>
          <w:rFonts w:hint="default" w:hAnsi="宋体" w:cs="宋体"/>
          <w:sz w:val="21"/>
          <w:szCs w:val="21"/>
          <w:lang w:val="en-US" w:eastAsia="zh-CN"/>
        </w:rPr>
        <w:t>〔20</w:t>
      </w:r>
      <w:r>
        <w:rPr>
          <w:rFonts w:hint="eastAsia" w:hAnsi="宋体" w:cs="宋体"/>
          <w:sz w:val="21"/>
          <w:szCs w:val="21"/>
          <w:lang w:val="en-US" w:eastAsia="zh-CN"/>
        </w:rPr>
        <w:t>19</w:t>
      </w:r>
      <w:r>
        <w:rPr>
          <w:rFonts w:hint="default" w:hAnsi="宋体" w:cs="宋体"/>
          <w:sz w:val="21"/>
          <w:szCs w:val="21"/>
          <w:lang w:val="en-US" w:eastAsia="zh-CN"/>
        </w:rPr>
        <w:t>〕</w:t>
      </w:r>
      <w:r>
        <w:rPr>
          <w:rFonts w:hint="eastAsia" w:hAnsi="宋体" w:cs="宋体"/>
          <w:sz w:val="21"/>
          <w:szCs w:val="21"/>
          <w:lang w:val="en-US" w:eastAsia="zh-CN"/>
        </w:rPr>
        <w:t>55号  山东省煤矿安全监察局关于印发《山东煤矿人员精准定位系统技术要求（试行）》的通知</w:t>
      </w:r>
    </w:p>
    <w:p>
      <w:pPr>
        <w:pStyle w:val="10"/>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hAnsi="Times New Roman" w:eastAsia="宋体" w:cs="Times New Roman"/>
          <w:sz w:val="21"/>
          <w:szCs w:val="21"/>
          <w:lang w:val="en-US" w:eastAsia="zh-CN"/>
        </w:rPr>
      </w:pPr>
    </w:p>
    <w:p>
      <w:pPr>
        <w:pStyle w:val="10"/>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hAnsi="Times New Roman" w:eastAsia="宋体" w:cs="Times New Roman"/>
          <w:sz w:val="21"/>
          <w:szCs w:val="21"/>
          <w:lang w:val="en-US" w:eastAsia="zh-CN"/>
        </w:rPr>
      </w:pPr>
    </w:p>
    <w:p>
      <w:pPr>
        <w:jc w:val="left"/>
        <w:rPr>
          <w:rFonts w:hint="eastAsia" w:ascii="宋体" w:hAnsi="宋体"/>
          <w:bCs/>
          <w:szCs w:val="21"/>
        </w:rPr>
      </w:pPr>
    </w:p>
    <w:p>
      <w:pPr>
        <w:outlineLvl w:val="0"/>
        <w:rPr>
          <w:rFonts w:hint="default" w:ascii="宋体" w:hAnsi="宋体" w:eastAsia="宋体"/>
          <w:bCs/>
          <w:szCs w:val="21"/>
          <w:lang w:val="en-US" w:eastAsia="zh-CN"/>
        </w:rPr>
      </w:pPr>
      <w:r>
        <w:rPr>
          <w:rFonts w:hint="eastAsia"/>
        </w:rPr>
        <w:t xml:space="preserve">                                   </w:t>
      </w:r>
      <w:r>
        <w:rPr>
          <w:rFonts w:hint="eastAsia"/>
          <w:u w:val="single"/>
        </w:rPr>
        <w:t xml:space="preserve">                    </w:t>
      </w:r>
      <w:r>
        <w:rPr>
          <w:rFonts w:hint="eastAsia"/>
          <w:lang w:val="en-US" w:eastAsia="zh-CN"/>
        </w:rPr>
        <w:t xml:space="preserve">                   </w:t>
      </w:r>
    </w:p>
    <w:sectPr>
      <w:headerReference r:id="rId17" w:type="default"/>
      <w:footerReference r:id="rId19" w:type="default"/>
      <w:headerReference r:id="rId18" w:type="even"/>
      <w:footerReference r:id="rId20" w:type="even"/>
      <w:pgSz w:w="11907" w:h="16840"/>
      <w:pgMar w:top="1417" w:right="1134" w:bottom="1134" w:left="1417" w:header="1418" w:footer="907" w:gutter="0"/>
      <w:pgNumType w:fmt="decimal"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彩云">
    <w:panose1 w:val="02010800040101010101"/>
    <w:charset w:val="86"/>
    <w:family w:val="auto"/>
    <w:pitch w:val="default"/>
    <w:sig w:usb0="00000001" w:usb1="080F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fldChar w:fldCharType="begin"/>
    </w:r>
    <w:r>
      <w:rPr>
        <w:rStyle w:val="21"/>
      </w:rPr>
      <w:instrText xml:space="preserve">PAGE  </w:instrText>
    </w:r>
    <w:r>
      <w:fldChar w:fldCharType="separate"/>
    </w:r>
    <w:r>
      <w:rPr>
        <w:rStyle w:val="21"/>
      </w:rPr>
      <w:t>2</w:t>
    </w:r>
    <w:r>
      <w:fldChar w:fldCharType="end"/>
    </w:r>
  </w:p>
  <w:p>
    <w:pPr>
      <w:pStyle w:val="12"/>
      <w:ind w:right="360"/>
      <w:jc w:val="center"/>
      <w:rPr>
        <w:rFonts w:hint="eastAsia"/>
      </w:rPr>
    </w:pPr>
    <w:r>
      <w:rPr>
        <w:kern w:val="0"/>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21"/>
      </w:rPr>
    </w:pPr>
    <w:r>
      <w:fldChar w:fldCharType="begin"/>
    </w:r>
    <w:r>
      <w:rPr>
        <w:rStyle w:val="21"/>
      </w:rPr>
      <w:instrText xml:space="preserve">PAGE  </w:instrText>
    </w:r>
    <w:r>
      <w:fldChar w:fldCharType="separate"/>
    </w:r>
    <w:r>
      <w:rPr>
        <w:rStyle w:val="21"/>
      </w:rPr>
      <w:t>I</w:t>
    </w:r>
    <w:r>
      <w:fldChar w:fldCharType="end"/>
    </w:r>
  </w:p>
  <w:p>
    <w:pPr>
      <w:pStyle w:val="12"/>
      <w:ind w:right="360"/>
      <w:jc w:val="center"/>
      <w:rPr>
        <w:rFonts w:hint="eastAsia"/>
      </w:rPr>
    </w:pPr>
    <w:r>
      <w:rPr>
        <w:kern w:val="0"/>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cen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Style w:val="21"/>
                            </w:rPr>
                          </w:pPr>
                          <w:r>
                            <w:fldChar w:fldCharType="begin"/>
                          </w:r>
                          <w:r>
                            <w:rPr>
                              <w:rStyle w:val="21"/>
                            </w:rPr>
                            <w:instrText xml:space="preserve">PAGE  </w:instrText>
                          </w:r>
                          <w:r>
                            <w:fldChar w:fldCharType="separate"/>
                          </w:r>
                          <w:r>
                            <w:rPr>
                              <w:rStyle w:val="21"/>
                            </w:rPr>
                            <w:t>I</w:t>
                          </w:r>
                          <w:r>
                            <w:fldChar w:fldCharType="end"/>
                          </w:r>
                        </w:p>
                      </w:txbxContent>
                    </wps:txbx>
                    <wps:bodyPr vert="horz" wrap="none" lIns="0" tIns="0" rIns="0" bIns="0" anchor="t" anchorCtr="0" upright="0">
                      <a:spAutoFit/>
                    </wps:bodyPr>
                  </wps:wsp>
                </a:graphicData>
              </a:graphic>
            </wp:anchor>
          </w:drawing>
        </mc:Choice>
        <mc:Fallback>
          <w:pict>
            <v:shape id="文本框 37"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C8nZw3gEAAMADAAAOAAAAAAAA&#10;AAEAIAAAAB4BAABkcnMvZTJvRG9jLnhtbFBLBQYAAAAABgAGAFkBAABuBQAAAAA=&#10;">
              <v:fill on="f" focussize="0,0"/>
              <v:stroke on="f"/>
              <v:imagedata o:title=""/>
              <o:lock v:ext="edit" aspectratio="f"/>
              <v:textbox inset="0mm,0mm,0mm,0mm" style="mso-fit-shape-to-text:t;">
                <w:txbxContent>
                  <w:p>
                    <w:pPr>
                      <w:pStyle w:val="12"/>
                      <w:rPr>
                        <w:rStyle w:val="21"/>
                      </w:rPr>
                    </w:pPr>
                    <w:r>
                      <w:fldChar w:fldCharType="begin"/>
                    </w:r>
                    <w:r>
                      <w:rPr>
                        <w:rStyle w:val="21"/>
                      </w:rPr>
                      <w:instrText xml:space="preserve">PAGE  </w:instrText>
                    </w:r>
                    <w:r>
                      <w:fldChar w:fldCharType="separate"/>
                    </w:r>
                    <w:r>
                      <w:rPr>
                        <w:rStyle w:val="21"/>
                      </w:rPr>
                      <w:t>I</w:t>
                    </w:r>
                    <w:r>
                      <w:fldChar w:fldCharType="end"/>
                    </w:r>
                  </w:p>
                </w:txbxContent>
              </v:textbox>
            </v:shape>
          </w:pict>
        </mc:Fallback>
      </mc:AlternateContent>
    </w:r>
    <w:r>
      <w:rPr>
        <w:kern w:val="0"/>
        <w:szCs w:val="21"/>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38"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RdD5G3gEAAMA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cen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0</wp:posOffset>
              </wp:positionV>
              <wp:extent cx="1828800" cy="1828800"/>
              <wp:effectExtent l="0" t="0" r="0" b="0"/>
              <wp:wrapNone/>
              <wp:docPr id="12"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Style w:val="21"/>
                            </w:rPr>
                          </w:pPr>
                          <w:r>
                            <w:fldChar w:fldCharType="begin"/>
                          </w:r>
                          <w:r>
                            <w:rPr>
                              <w:rStyle w:val="21"/>
                            </w:rPr>
                            <w:instrText xml:space="preserve">PAGE  </w:instrText>
                          </w:r>
                          <w:r>
                            <w:fldChar w:fldCharType="separate"/>
                          </w:r>
                          <w:r>
                            <w:rPr>
                              <w:rStyle w:val="21"/>
                            </w:rPr>
                            <w:t>I</w:t>
                          </w:r>
                          <w:r>
                            <w:fldChar w:fldCharType="end"/>
                          </w:r>
                        </w:p>
                      </w:txbxContent>
                    </wps:txbx>
                    <wps:bodyPr vert="horz" wrap="none" lIns="0" tIns="0" rIns="0" bIns="0" anchor="t" anchorCtr="0" upright="0">
                      <a:spAutoFit/>
                    </wps:bodyPr>
                  </wps:wsp>
                </a:graphicData>
              </a:graphic>
            </wp:anchor>
          </w:drawing>
        </mc:Choice>
        <mc:Fallback>
          <w:pict>
            <v:shape id="文本框 39" o:spid="_x0000_s1026" o:spt="202" type="#_x0000_t202" style="position:absolute;left:0pt;margin-top:0pt;height:144pt;width:144pt;mso-position-horizontal:left;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qb6L7N8BAADAAwAADgAAAAAA&#10;AAABACAAAAAeAQAAZHJzL2Uyb0RvYy54bWxQSwUGAAAAAAYABgBZAQAAbwUAAAAA&#10;">
              <v:fill on="f" focussize="0,0"/>
              <v:stroke on="f"/>
              <v:imagedata o:title=""/>
              <o:lock v:ext="edit" aspectratio="f"/>
              <v:textbox inset="0mm,0mm,0mm,0mm" style="mso-fit-shape-to-text:t;">
                <w:txbxContent>
                  <w:p>
                    <w:pPr>
                      <w:pStyle w:val="12"/>
                      <w:rPr>
                        <w:rStyle w:val="21"/>
                      </w:rPr>
                    </w:pPr>
                    <w:r>
                      <w:fldChar w:fldCharType="begin"/>
                    </w:r>
                    <w:r>
                      <w:rPr>
                        <w:rStyle w:val="21"/>
                      </w:rPr>
                      <w:instrText xml:space="preserve">PAGE  </w:instrText>
                    </w:r>
                    <w:r>
                      <w:fldChar w:fldCharType="separate"/>
                    </w:r>
                    <w:r>
                      <w:rPr>
                        <w:rStyle w:val="21"/>
                      </w:rPr>
                      <w:t>I</w:t>
                    </w:r>
                    <w:r>
                      <w:fldChar w:fldCharType="end"/>
                    </w:r>
                  </w:p>
                </w:txbxContent>
              </v:textbox>
            </v:shape>
          </w:pict>
        </mc:Fallback>
      </mc:AlternateContent>
    </w:r>
    <w:r>
      <w:rPr>
        <w:kern w:val="0"/>
        <w:szCs w:val="21"/>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4384" behindDoc="0" locked="0" layoutInCell="1" allowOverlap="1">
              <wp:simplePos x="0" y="0"/>
              <wp:positionH relativeFrom="margin">
                <wp:align>left</wp:align>
              </wp:positionH>
              <wp:positionV relativeFrom="paragraph">
                <wp:posOffset>0</wp:posOffset>
              </wp:positionV>
              <wp:extent cx="1828800" cy="1828800"/>
              <wp:effectExtent l="0" t="0" r="0" b="0"/>
              <wp:wrapNone/>
              <wp:docPr id="13"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40" o:spid="_x0000_s1026" o:spt="202" type="#_x0000_t202" style="position:absolute;left:0pt;margin-top:0pt;height:144pt;width:144pt;mso-position-horizontal:left;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64blV3gEAAMA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0">
                      <a:spAutoFit/>
                    </wps:bodyPr>
                  </wps:wsp>
                </a:graphicData>
              </a:graphic>
            </wp:anchor>
          </w:drawing>
        </mc:Choice>
        <mc:Fallback>
          <w:pict>
            <v:shape id="文本框 2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LjHzO3gEAAL8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YCjT43gEAAL8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rPr>
        <w:rFonts w:hint="eastAsia"/>
      </w:rPr>
    </w:pPr>
    <w:r>
      <w:t>DB13 /</w:t>
    </w:r>
    <w:r>
      <w:rPr>
        <w:rFonts w:hint="eastAsia"/>
      </w:rPr>
      <w:t>XX</w:t>
    </w:r>
    <w:r>
      <w:t>-</w:t>
    </w:r>
    <w:r>
      <w:rPr>
        <w:rFonts w:hint="eastAsia"/>
      </w:rP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rPr>
        <w:rFonts w:hint="eastAsia"/>
      </w:rPr>
    </w:pPr>
    <w:r>
      <w:t>DB13 /</w:t>
    </w:r>
    <w:r>
      <w:rPr>
        <w:rFonts w:hint="eastAsia"/>
      </w:rPr>
      <w:t>XX</w:t>
    </w:r>
    <w:r>
      <w:t>-</w:t>
    </w:r>
    <w:r>
      <w:rPr>
        <w:rFonts w:hint="eastAsia"/>
      </w:rPr>
      <w:t>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pPr>
    <w:r>
      <w:t>DB13 /</w:t>
    </w:r>
    <w:r>
      <w:rPr>
        <w:rFonts w:hint="eastAsia"/>
      </w:rPr>
      <w:t>XX</w:t>
    </w:r>
    <w:r>
      <w:t>-</w:t>
    </w:r>
    <w:r>
      <w:rPr>
        <w:rFonts w:hint="eastAsia"/>
      </w:rPr>
      <w:t>XXXX</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left"/>
    </w:pPr>
    <w:r>
      <w:t>DB13 /</w:t>
    </w:r>
    <w:r>
      <w:rPr>
        <w:rFonts w:hint="eastAsia"/>
      </w:rPr>
      <w:t>XX</w:t>
    </w:r>
    <w:r>
      <w:t>-</w:t>
    </w:r>
    <w:r>
      <w:rPr>
        <w:rFonts w:hint="eastAsia"/>
      </w:rPr>
      <w:t>XXXX</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rPr>
        <w:rFonts w:hint="eastAsia"/>
      </w:rPr>
    </w:pPr>
    <w:r>
      <w:t>DB13 /</w:t>
    </w:r>
    <w:r>
      <w:rPr>
        <w:rFonts w:hint="eastAsia"/>
      </w:rPr>
      <w:t>XX</w:t>
    </w:r>
    <w:r>
      <w:t>-</w:t>
    </w:r>
    <w:r>
      <w:rPr>
        <w:rFonts w:hint="eastAsia"/>
      </w:rPr>
      <w:t>XXXX</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both"/>
    </w:pPr>
    <w:r>
      <w:t>DB13 /</w:t>
    </w:r>
    <w:r>
      <w:rPr>
        <w:rFonts w:hint="eastAsia"/>
      </w:rPr>
      <w:t>XX</w:t>
    </w:r>
    <w:r>
      <w:t>-</w:t>
    </w:r>
    <w:r>
      <w:rPr>
        <w:rFonts w:hint="eastAsia"/>
      </w:rP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252D5B"/>
    <w:multiLevelType w:val="singleLevel"/>
    <w:tmpl w:val="EE252D5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2"/>
  <w:drawingGridVerticalSpacing w:val="3"/>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jMTg5YjE1OGZkMWUwZGM3YjVhZjRhZGQ4MTMxN2IifQ=="/>
  </w:docVars>
  <w:rsids>
    <w:rsidRoot w:val="00D924E9"/>
    <w:rsid w:val="0000253D"/>
    <w:rsid w:val="000051F1"/>
    <w:rsid w:val="000061B8"/>
    <w:rsid w:val="00007D06"/>
    <w:rsid w:val="000126A5"/>
    <w:rsid w:val="00012FB3"/>
    <w:rsid w:val="000144D2"/>
    <w:rsid w:val="00021882"/>
    <w:rsid w:val="0002218E"/>
    <w:rsid w:val="000264D9"/>
    <w:rsid w:val="000313CC"/>
    <w:rsid w:val="00032887"/>
    <w:rsid w:val="0003366D"/>
    <w:rsid w:val="00037299"/>
    <w:rsid w:val="00040243"/>
    <w:rsid w:val="00047E42"/>
    <w:rsid w:val="00051F72"/>
    <w:rsid w:val="0006051E"/>
    <w:rsid w:val="000608B1"/>
    <w:rsid w:val="0006338F"/>
    <w:rsid w:val="00064EAA"/>
    <w:rsid w:val="0006506B"/>
    <w:rsid w:val="00071A72"/>
    <w:rsid w:val="000727C1"/>
    <w:rsid w:val="00072CF4"/>
    <w:rsid w:val="00074D59"/>
    <w:rsid w:val="00086126"/>
    <w:rsid w:val="0008704C"/>
    <w:rsid w:val="00090353"/>
    <w:rsid w:val="00095D75"/>
    <w:rsid w:val="000A4397"/>
    <w:rsid w:val="000A45D3"/>
    <w:rsid w:val="000A6394"/>
    <w:rsid w:val="000B7513"/>
    <w:rsid w:val="000C2F3A"/>
    <w:rsid w:val="000E1956"/>
    <w:rsid w:val="000E7BF0"/>
    <w:rsid w:val="000F484F"/>
    <w:rsid w:val="000F5458"/>
    <w:rsid w:val="000F59BA"/>
    <w:rsid w:val="000F778E"/>
    <w:rsid w:val="00114D40"/>
    <w:rsid w:val="00116894"/>
    <w:rsid w:val="00125C52"/>
    <w:rsid w:val="00126CC2"/>
    <w:rsid w:val="0013082F"/>
    <w:rsid w:val="00135B56"/>
    <w:rsid w:val="00135D02"/>
    <w:rsid w:val="00144061"/>
    <w:rsid w:val="00145B1A"/>
    <w:rsid w:val="001542E9"/>
    <w:rsid w:val="00154386"/>
    <w:rsid w:val="00155517"/>
    <w:rsid w:val="0016025F"/>
    <w:rsid w:val="001669FA"/>
    <w:rsid w:val="0017051F"/>
    <w:rsid w:val="00170652"/>
    <w:rsid w:val="001709B1"/>
    <w:rsid w:val="00171D24"/>
    <w:rsid w:val="0018024B"/>
    <w:rsid w:val="00182F09"/>
    <w:rsid w:val="001A1B6C"/>
    <w:rsid w:val="001A1C6C"/>
    <w:rsid w:val="001A478C"/>
    <w:rsid w:val="001B3121"/>
    <w:rsid w:val="001B5A47"/>
    <w:rsid w:val="001B7A6B"/>
    <w:rsid w:val="001C04F5"/>
    <w:rsid w:val="001D0EF9"/>
    <w:rsid w:val="001E09D8"/>
    <w:rsid w:val="001E40A2"/>
    <w:rsid w:val="001F345C"/>
    <w:rsid w:val="001F5E08"/>
    <w:rsid w:val="002046D7"/>
    <w:rsid w:val="00221B96"/>
    <w:rsid w:val="00222E57"/>
    <w:rsid w:val="00224686"/>
    <w:rsid w:val="00226207"/>
    <w:rsid w:val="00231BC7"/>
    <w:rsid w:val="0023250E"/>
    <w:rsid w:val="00233A3F"/>
    <w:rsid w:val="002343E4"/>
    <w:rsid w:val="00235AFC"/>
    <w:rsid w:val="00245342"/>
    <w:rsid w:val="002512BC"/>
    <w:rsid w:val="0025314B"/>
    <w:rsid w:val="002545A8"/>
    <w:rsid w:val="0025603E"/>
    <w:rsid w:val="00264FF5"/>
    <w:rsid w:val="00265107"/>
    <w:rsid w:val="00272076"/>
    <w:rsid w:val="00274139"/>
    <w:rsid w:val="00280090"/>
    <w:rsid w:val="002822DD"/>
    <w:rsid w:val="00286732"/>
    <w:rsid w:val="00290C8D"/>
    <w:rsid w:val="0029138B"/>
    <w:rsid w:val="002A28E2"/>
    <w:rsid w:val="002A41C2"/>
    <w:rsid w:val="002A5227"/>
    <w:rsid w:val="002A60FE"/>
    <w:rsid w:val="002C2AAA"/>
    <w:rsid w:val="002C7247"/>
    <w:rsid w:val="002D10E4"/>
    <w:rsid w:val="002D1673"/>
    <w:rsid w:val="002D2BA5"/>
    <w:rsid w:val="002D480F"/>
    <w:rsid w:val="002D776C"/>
    <w:rsid w:val="002E1941"/>
    <w:rsid w:val="002E3190"/>
    <w:rsid w:val="002E5BAF"/>
    <w:rsid w:val="002E6302"/>
    <w:rsid w:val="002F18F3"/>
    <w:rsid w:val="002F590B"/>
    <w:rsid w:val="00310DA0"/>
    <w:rsid w:val="00311957"/>
    <w:rsid w:val="003153BD"/>
    <w:rsid w:val="003175FB"/>
    <w:rsid w:val="00320E4B"/>
    <w:rsid w:val="00331DD0"/>
    <w:rsid w:val="00333436"/>
    <w:rsid w:val="0033343C"/>
    <w:rsid w:val="00340B4B"/>
    <w:rsid w:val="003562BB"/>
    <w:rsid w:val="00360CF7"/>
    <w:rsid w:val="00364AD9"/>
    <w:rsid w:val="00372C40"/>
    <w:rsid w:val="00375FA8"/>
    <w:rsid w:val="0037761D"/>
    <w:rsid w:val="00380816"/>
    <w:rsid w:val="00387936"/>
    <w:rsid w:val="00393103"/>
    <w:rsid w:val="003935A5"/>
    <w:rsid w:val="003A6114"/>
    <w:rsid w:val="003A70FC"/>
    <w:rsid w:val="003A76BE"/>
    <w:rsid w:val="003B0674"/>
    <w:rsid w:val="003C1205"/>
    <w:rsid w:val="003C1586"/>
    <w:rsid w:val="003C40E9"/>
    <w:rsid w:val="003C57FA"/>
    <w:rsid w:val="003D194C"/>
    <w:rsid w:val="003E19AA"/>
    <w:rsid w:val="003E48D9"/>
    <w:rsid w:val="003E6B22"/>
    <w:rsid w:val="003E70A2"/>
    <w:rsid w:val="003F26AC"/>
    <w:rsid w:val="003F6485"/>
    <w:rsid w:val="00400D9F"/>
    <w:rsid w:val="00400E9E"/>
    <w:rsid w:val="004158F8"/>
    <w:rsid w:val="00422536"/>
    <w:rsid w:val="004257C0"/>
    <w:rsid w:val="004265A9"/>
    <w:rsid w:val="00430B34"/>
    <w:rsid w:val="0043244D"/>
    <w:rsid w:val="0043309A"/>
    <w:rsid w:val="00435855"/>
    <w:rsid w:val="00437647"/>
    <w:rsid w:val="004454B0"/>
    <w:rsid w:val="0045754A"/>
    <w:rsid w:val="00466585"/>
    <w:rsid w:val="004721C3"/>
    <w:rsid w:val="00477E62"/>
    <w:rsid w:val="004871E3"/>
    <w:rsid w:val="00490648"/>
    <w:rsid w:val="004931C9"/>
    <w:rsid w:val="0049756E"/>
    <w:rsid w:val="004A61F0"/>
    <w:rsid w:val="004B3075"/>
    <w:rsid w:val="004B4AC9"/>
    <w:rsid w:val="004C2599"/>
    <w:rsid w:val="004C5DC7"/>
    <w:rsid w:val="004C66A1"/>
    <w:rsid w:val="004C73DB"/>
    <w:rsid w:val="004D6D0D"/>
    <w:rsid w:val="004E1E5F"/>
    <w:rsid w:val="004E2D7A"/>
    <w:rsid w:val="004E4DD1"/>
    <w:rsid w:val="004E57D0"/>
    <w:rsid w:val="004F547F"/>
    <w:rsid w:val="004F7659"/>
    <w:rsid w:val="004F7DC3"/>
    <w:rsid w:val="004F7F89"/>
    <w:rsid w:val="00506DC8"/>
    <w:rsid w:val="00525A4B"/>
    <w:rsid w:val="005323BC"/>
    <w:rsid w:val="005332F6"/>
    <w:rsid w:val="00535DE6"/>
    <w:rsid w:val="005376BD"/>
    <w:rsid w:val="00541D6E"/>
    <w:rsid w:val="00543521"/>
    <w:rsid w:val="005650D1"/>
    <w:rsid w:val="00574DFD"/>
    <w:rsid w:val="005823C5"/>
    <w:rsid w:val="00582829"/>
    <w:rsid w:val="00583753"/>
    <w:rsid w:val="00584A89"/>
    <w:rsid w:val="00591249"/>
    <w:rsid w:val="005A1390"/>
    <w:rsid w:val="005A77F1"/>
    <w:rsid w:val="005B6054"/>
    <w:rsid w:val="005C0A73"/>
    <w:rsid w:val="005C4EC0"/>
    <w:rsid w:val="005C5F41"/>
    <w:rsid w:val="005D51C2"/>
    <w:rsid w:val="005D51E7"/>
    <w:rsid w:val="005D6123"/>
    <w:rsid w:val="005E1188"/>
    <w:rsid w:val="005E77FA"/>
    <w:rsid w:val="005E7C74"/>
    <w:rsid w:val="005F413C"/>
    <w:rsid w:val="005F45A9"/>
    <w:rsid w:val="005F6BD0"/>
    <w:rsid w:val="005F6CB0"/>
    <w:rsid w:val="006003BA"/>
    <w:rsid w:val="006015FA"/>
    <w:rsid w:val="006023E9"/>
    <w:rsid w:val="006078F4"/>
    <w:rsid w:val="00612481"/>
    <w:rsid w:val="00612D31"/>
    <w:rsid w:val="00615F9F"/>
    <w:rsid w:val="00616AE2"/>
    <w:rsid w:val="00616CEC"/>
    <w:rsid w:val="00617153"/>
    <w:rsid w:val="00622C37"/>
    <w:rsid w:val="006314A4"/>
    <w:rsid w:val="0064040B"/>
    <w:rsid w:val="006463E5"/>
    <w:rsid w:val="00654340"/>
    <w:rsid w:val="0065612B"/>
    <w:rsid w:val="0066317F"/>
    <w:rsid w:val="006735B8"/>
    <w:rsid w:val="00673609"/>
    <w:rsid w:val="00674579"/>
    <w:rsid w:val="006803D4"/>
    <w:rsid w:val="006914AD"/>
    <w:rsid w:val="006951E5"/>
    <w:rsid w:val="006972E5"/>
    <w:rsid w:val="00697B70"/>
    <w:rsid w:val="006A21CC"/>
    <w:rsid w:val="006A33E8"/>
    <w:rsid w:val="006A3C37"/>
    <w:rsid w:val="006A7B06"/>
    <w:rsid w:val="006B2DF3"/>
    <w:rsid w:val="006B533D"/>
    <w:rsid w:val="006C025A"/>
    <w:rsid w:val="006C1C55"/>
    <w:rsid w:val="006C2E24"/>
    <w:rsid w:val="006C608C"/>
    <w:rsid w:val="006C7DD5"/>
    <w:rsid w:val="006D127C"/>
    <w:rsid w:val="006D545B"/>
    <w:rsid w:val="006D626C"/>
    <w:rsid w:val="006E09D0"/>
    <w:rsid w:val="006E22B5"/>
    <w:rsid w:val="006E2D39"/>
    <w:rsid w:val="006E6412"/>
    <w:rsid w:val="006E6A06"/>
    <w:rsid w:val="006E6CAB"/>
    <w:rsid w:val="006F018D"/>
    <w:rsid w:val="006F2CCD"/>
    <w:rsid w:val="006F3280"/>
    <w:rsid w:val="006F37C6"/>
    <w:rsid w:val="006F4080"/>
    <w:rsid w:val="006F6823"/>
    <w:rsid w:val="00700A4C"/>
    <w:rsid w:val="00700C6C"/>
    <w:rsid w:val="00701442"/>
    <w:rsid w:val="00703FC4"/>
    <w:rsid w:val="00705F87"/>
    <w:rsid w:val="007156D2"/>
    <w:rsid w:val="00725703"/>
    <w:rsid w:val="00725DF5"/>
    <w:rsid w:val="00726FB9"/>
    <w:rsid w:val="007323CD"/>
    <w:rsid w:val="0073256E"/>
    <w:rsid w:val="00733F46"/>
    <w:rsid w:val="00735A9F"/>
    <w:rsid w:val="00742C3B"/>
    <w:rsid w:val="00744583"/>
    <w:rsid w:val="00747A9E"/>
    <w:rsid w:val="0075053C"/>
    <w:rsid w:val="00761258"/>
    <w:rsid w:val="007617A6"/>
    <w:rsid w:val="00762828"/>
    <w:rsid w:val="007640AA"/>
    <w:rsid w:val="007655F2"/>
    <w:rsid w:val="00781E5E"/>
    <w:rsid w:val="00781FC6"/>
    <w:rsid w:val="007907B8"/>
    <w:rsid w:val="0079304D"/>
    <w:rsid w:val="007A3A7E"/>
    <w:rsid w:val="007A4ECA"/>
    <w:rsid w:val="007A6087"/>
    <w:rsid w:val="007B6D25"/>
    <w:rsid w:val="007B765D"/>
    <w:rsid w:val="007C4D44"/>
    <w:rsid w:val="007D0E60"/>
    <w:rsid w:val="007D4945"/>
    <w:rsid w:val="007D519D"/>
    <w:rsid w:val="007D5900"/>
    <w:rsid w:val="007F4086"/>
    <w:rsid w:val="007F5A31"/>
    <w:rsid w:val="00802003"/>
    <w:rsid w:val="00803F05"/>
    <w:rsid w:val="00811459"/>
    <w:rsid w:val="00812F81"/>
    <w:rsid w:val="0081647B"/>
    <w:rsid w:val="00822946"/>
    <w:rsid w:val="00823473"/>
    <w:rsid w:val="008414D3"/>
    <w:rsid w:val="0084266F"/>
    <w:rsid w:val="008470D9"/>
    <w:rsid w:val="008537B2"/>
    <w:rsid w:val="00856A09"/>
    <w:rsid w:val="008605CE"/>
    <w:rsid w:val="00860BBB"/>
    <w:rsid w:val="00861E7C"/>
    <w:rsid w:val="00862252"/>
    <w:rsid w:val="008630ED"/>
    <w:rsid w:val="00871EE0"/>
    <w:rsid w:val="008743EA"/>
    <w:rsid w:val="00887784"/>
    <w:rsid w:val="008A0F3D"/>
    <w:rsid w:val="008A1109"/>
    <w:rsid w:val="008A39E5"/>
    <w:rsid w:val="008A3B82"/>
    <w:rsid w:val="008A4EC8"/>
    <w:rsid w:val="008B06F7"/>
    <w:rsid w:val="008B139D"/>
    <w:rsid w:val="008B60A5"/>
    <w:rsid w:val="008C5128"/>
    <w:rsid w:val="008C7C8F"/>
    <w:rsid w:val="008E0A4A"/>
    <w:rsid w:val="008E169A"/>
    <w:rsid w:val="008E234B"/>
    <w:rsid w:val="008E2513"/>
    <w:rsid w:val="008E3599"/>
    <w:rsid w:val="008E6D77"/>
    <w:rsid w:val="008F0387"/>
    <w:rsid w:val="00904B7C"/>
    <w:rsid w:val="009067C4"/>
    <w:rsid w:val="00907ABF"/>
    <w:rsid w:val="00913171"/>
    <w:rsid w:val="00921BD0"/>
    <w:rsid w:val="00922B14"/>
    <w:rsid w:val="00926238"/>
    <w:rsid w:val="00932580"/>
    <w:rsid w:val="0093322C"/>
    <w:rsid w:val="0093678B"/>
    <w:rsid w:val="00937D58"/>
    <w:rsid w:val="009431B1"/>
    <w:rsid w:val="00944AE7"/>
    <w:rsid w:val="00952BB4"/>
    <w:rsid w:val="00953093"/>
    <w:rsid w:val="00962BAA"/>
    <w:rsid w:val="00963171"/>
    <w:rsid w:val="009640B1"/>
    <w:rsid w:val="009674E3"/>
    <w:rsid w:val="00973BD8"/>
    <w:rsid w:val="00975F0D"/>
    <w:rsid w:val="00976DDA"/>
    <w:rsid w:val="009800A0"/>
    <w:rsid w:val="009846EE"/>
    <w:rsid w:val="00990650"/>
    <w:rsid w:val="0099065F"/>
    <w:rsid w:val="00993B48"/>
    <w:rsid w:val="0099630C"/>
    <w:rsid w:val="009A0E72"/>
    <w:rsid w:val="009A17A7"/>
    <w:rsid w:val="009A7849"/>
    <w:rsid w:val="009B1AE8"/>
    <w:rsid w:val="009B3412"/>
    <w:rsid w:val="009C2233"/>
    <w:rsid w:val="009C294A"/>
    <w:rsid w:val="009D1F75"/>
    <w:rsid w:val="009D5F74"/>
    <w:rsid w:val="009E2FB8"/>
    <w:rsid w:val="009E4B95"/>
    <w:rsid w:val="009E7441"/>
    <w:rsid w:val="009F3CD0"/>
    <w:rsid w:val="009F420E"/>
    <w:rsid w:val="00A04984"/>
    <w:rsid w:val="00A106E0"/>
    <w:rsid w:val="00A143C3"/>
    <w:rsid w:val="00A17BB3"/>
    <w:rsid w:val="00A22BA6"/>
    <w:rsid w:val="00A24624"/>
    <w:rsid w:val="00A361EB"/>
    <w:rsid w:val="00A36AE1"/>
    <w:rsid w:val="00A41858"/>
    <w:rsid w:val="00A45E99"/>
    <w:rsid w:val="00A51F76"/>
    <w:rsid w:val="00A544F3"/>
    <w:rsid w:val="00A54950"/>
    <w:rsid w:val="00A55AFF"/>
    <w:rsid w:val="00A56CCA"/>
    <w:rsid w:val="00A6183D"/>
    <w:rsid w:val="00A62798"/>
    <w:rsid w:val="00A63E74"/>
    <w:rsid w:val="00A674CA"/>
    <w:rsid w:val="00A72014"/>
    <w:rsid w:val="00A807CD"/>
    <w:rsid w:val="00A87F53"/>
    <w:rsid w:val="00A979B7"/>
    <w:rsid w:val="00AA1C97"/>
    <w:rsid w:val="00AA6098"/>
    <w:rsid w:val="00AA6D00"/>
    <w:rsid w:val="00AB0180"/>
    <w:rsid w:val="00AB0456"/>
    <w:rsid w:val="00AC085D"/>
    <w:rsid w:val="00AC79AE"/>
    <w:rsid w:val="00AD4347"/>
    <w:rsid w:val="00AD6D57"/>
    <w:rsid w:val="00AE3173"/>
    <w:rsid w:val="00AE351C"/>
    <w:rsid w:val="00AE5BBC"/>
    <w:rsid w:val="00AE6849"/>
    <w:rsid w:val="00AE7F2A"/>
    <w:rsid w:val="00AF2719"/>
    <w:rsid w:val="00AF33A1"/>
    <w:rsid w:val="00B02705"/>
    <w:rsid w:val="00B06526"/>
    <w:rsid w:val="00B06A46"/>
    <w:rsid w:val="00B15B19"/>
    <w:rsid w:val="00B170F2"/>
    <w:rsid w:val="00B22937"/>
    <w:rsid w:val="00B22C60"/>
    <w:rsid w:val="00B23658"/>
    <w:rsid w:val="00B25F59"/>
    <w:rsid w:val="00B2649C"/>
    <w:rsid w:val="00B30A10"/>
    <w:rsid w:val="00B31930"/>
    <w:rsid w:val="00B31BDD"/>
    <w:rsid w:val="00B31E57"/>
    <w:rsid w:val="00B3225E"/>
    <w:rsid w:val="00B32ADB"/>
    <w:rsid w:val="00B33DA3"/>
    <w:rsid w:val="00B34E3B"/>
    <w:rsid w:val="00B350B6"/>
    <w:rsid w:val="00B351F8"/>
    <w:rsid w:val="00B36951"/>
    <w:rsid w:val="00B379CA"/>
    <w:rsid w:val="00B40682"/>
    <w:rsid w:val="00B4191D"/>
    <w:rsid w:val="00B46482"/>
    <w:rsid w:val="00B47E51"/>
    <w:rsid w:val="00B5035E"/>
    <w:rsid w:val="00B52570"/>
    <w:rsid w:val="00B563AD"/>
    <w:rsid w:val="00B5786D"/>
    <w:rsid w:val="00B65AE1"/>
    <w:rsid w:val="00B65E13"/>
    <w:rsid w:val="00B729E0"/>
    <w:rsid w:val="00B74801"/>
    <w:rsid w:val="00B76872"/>
    <w:rsid w:val="00B82EEA"/>
    <w:rsid w:val="00B8596E"/>
    <w:rsid w:val="00B8617D"/>
    <w:rsid w:val="00B92B68"/>
    <w:rsid w:val="00B93174"/>
    <w:rsid w:val="00B936E1"/>
    <w:rsid w:val="00B97780"/>
    <w:rsid w:val="00BA606D"/>
    <w:rsid w:val="00BA7D69"/>
    <w:rsid w:val="00BB1DE1"/>
    <w:rsid w:val="00BB699C"/>
    <w:rsid w:val="00BC403B"/>
    <w:rsid w:val="00BD2C86"/>
    <w:rsid w:val="00BD5A9D"/>
    <w:rsid w:val="00BD736D"/>
    <w:rsid w:val="00C047AC"/>
    <w:rsid w:val="00C06CE7"/>
    <w:rsid w:val="00C12539"/>
    <w:rsid w:val="00C16588"/>
    <w:rsid w:val="00C16DA4"/>
    <w:rsid w:val="00C23E29"/>
    <w:rsid w:val="00C251CF"/>
    <w:rsid w:val="00C253DA"/>
    <w:rsid w:val="00C31D59"/>
    <w:rsid w:val="00C35A98"/>
    <w:rsid w:val="00C37F08"/>
    <w:rsid w:val="00C42B1A"/>
    <w:rsid w:val="00C459FD"/>
    <w:rsid w:val="00C50E6B"/>
    <w:rsid w:val="00C50F87"/>
    <w:rsid w:val="00C5257E"/>
    <w:rsid w:val="00C62000"/>
    <w:rsid w:val="00C701E1"/>
    <w:rsid w:val="00C725A4"/>
    <w:rsid w:val="00C74EFB"/>
    <w:rsid w:val="00C76E75"/>
    <w:rsid w:val="00C8779A"/>
    <w:rsid w:val="00C905C5"/>
    <w:rsid w:val="00C91FA9"/>
    <w:rsid w:val="00C930AF"/>
    <w:rsid w:val="00CA2472"/>
    <w:rsid w:val="00CB3FEC"/>
    <w:rsid w:val="00CC76D2"/>
    <w:rsid w:val="00CD37D6"/>
    <w:rsid w:val="00CE35E7"/>
    <w:rsid w:val="00CE5086"/>
    <w:rsid w:val="00CF00B9"/>
    <w:rsid w:val="00CF6327"/>
    <w:rsid w:val="00CF6B81"/>
    <w:rsid w:val="00D0067F"/>
    <w:rsid w:val="00D072CF"/>
    <w:rsid w:val="00D11B71"/>
    <w:rsid w:val="00D12024"/>
    <w:rsid w:val="00D12245"/>
    <w:rsid w:val="00D12B35"/>
    <w:rsid w:val="00D16A6D"/>
    <w:rsid w:val="00D176A6"/>
    <w:rsid w:val="00D27ECF"/>
    <w:rsid w:val="00D34A53"/>
    <w:rsid w:val="00D363DD"/>
    <w:rsid w:val="00D378C8"/>
    <w:rsid w:val="00D40DA4"/>
    <w:rsid w:val="00D45708"/>
    <w:rsid w:val="00D46031"/>
    <w:rsid w:val="00D478BC"/>
    <w:rsid w:val="00D47FF1"/>
    <w:rsid w:val="00D501FC"/>
    <w:rsid w:val="00D5447D"/>
    <w:rsid w:val="00D545AD"/>
    <w:rsid w:val="00D54C0E"/>
    <w:rsid w:val="00D61D28"/>
    <w:rsid w:val="00D639ED"/>
    <w:rsid w:val="00D65D6C"/>
    <w:rsid w:val="00D67310"/>
    <w:rsid w:val="00D80CF0"/>
    <w:rsid w:val="00D80F8F"/>
    <w:rsid w:val="00D82C40"/>
    <w:rsid w:val="00D82FAC"/>
    <w:rsid w:val="00D90092"/>
    <w:rsid w:val="00D924E9"/>
    <w:rsid w:val="00D93C50"/>
    <w:rsid w:val="00D9425D"/>
    <w:rsid w:val="00D963F2"/>
    <w:rsid w:val="00DA16F1"/>
    <w:rsid w:val="00DA312B"/>
    <w:rsid w:val="00DA61B5"/>
    <w:rsid w:val="00DB3F27"/>
    <w:rsid w:val="00DC48AB"/>
    <w:rsid w:val="00DC4C97"/>
    <w:rsid w:val="00DC4E07"/>
    <w:rsid w:val="00DC63B9"/>
    <w:rsid w:val="00DC74AB"/>
    <w:rsid w:val="00DD02CB"/>
    <w:rsid w:val="00DD0B00"/>
    <w:rsid w:val="00DD25D6"/>
    <w:rsid w:val="00DE46B4"/>
    <w:rsid w:val="00DE5B5F"/>
    <w:rsid w:val="00DF7158"/>
    <w:rsid w:val="00E046F6"/>
    <w:rsid w:val="00E06325"/>
    <w:rsid w:val="00E16598"/>
    <w:rsid w:val="00E16702"/>
    <w:rsid w:val="00E20383"/>
    <w:rsid w:val="00E20B46"/>
    <w:rsid w:val="00E20C2B"/>
    <w:rsid w:val="00E2413F"/>
    <w:rsid w:val="00E329F5"/>
    <w:rsid w:val="00E3741E"/>
    <w:rsid w:val="00E374A3"/>
    <w:rsid w:val="00E4111C"/>
    <w:rsid w:val="00E44B9B"/>
    <w:rsid w:val="00E46074"/>
    <w:rsid w:val="00E52712"/>
    <w:rsid w:val="00E544DD"/>
    <w:rsid w:val="00E5474D"/>
    <w:rsid w:val="00E5666A"/>
    <w:rsid w:val="00E63318"/>
    <w:rsid w:val="00E6674B"/>
    <w:rsid w:val="00E70F54"/>
    <w:rsid w:val="00E759CC"/>
    <w:rsid w:val="00E771C0"/>
    <w:rsid w:val="00E92139"/>
    <w:rsid w:val="00E94A5D"/>
    <w:rsid w:val="00E95729"/>
    <w:rsid w:val="00E97CAF"/>
    <w:rsid w:val="00EA049D"/>
    <w:rsid w:val="00EA4E63"/>
    <w:rsid w:val="00EB0A73"/>
    <w:rsid w:val="00EB0F4A"/>
    <w:rsid w:val="00EB6AEE"/>
    <w:rsid w:val="00EC0AA6"/>
    <w:rsid w:val="00EC1865"/>
    <w:rsid w:val="00EC39B7"/>
    <w:rsid w:val="00EC44FA"/>
    <w:rsid w:val="00EC5186"/>
    <w:rsid w:val="00ED02FF"/>
    <w:rsid w:val="00ED033B"/>
    <w:rsid w:val="00ED5E7A"/>
    <w:rsid w:val="00EE3F08"/>
    <w:rsid w:val="00EE54E0"/>
    <w:rsid w:val="00EE5572"/>
    <w:rsid w:val="00EE5C7C"/>
    <w:rsid w:val="00EF2EDF"/>
    <w:rsid w:val="00EF71A6"/>
    <w:rsid w:val="00F010F1"/>
    <w:rsid w:val="00F04DF7"/>
    <w:rsid w:val="00F07022"/>
    <w:rsid w:val="00F14509"/>
    <w:rsid w:val="00F14730"/>
    <w:rsid w:val="00F20D6D"/>
    <w:rsid w:val="00F2155D"/>
    <w:rsid w:val="00F232C7"/>
    <w:rsid w:val="00F3125C"/>
    <w:rsid w:val="00F31A6F"/>
    <w:rsid w:val="00F35C78"/>
    <w:rsid w:val="00F401FA"/>
    <w:rsid w:val="00F527B8"/>
    <w:rsid w:val="00F62CF7"/>
    <w:rsid w:val="00F65005"/>
    <w:rsid w:val="00F671B5"/>
    <w:rsid w:val="00F716AB"/>
    <w:rsid w:val="00F74FD0"/>
    <w:rsid w:val="00F76546"/>
    <w:rsid w:val="00F8071D"/>
    <w:rsid w:val="00F83ADB"/>
    <w:rsid w:val="00F86A27"/>
    <w:rsid w:val="00F905D1"/>
    <w:rsid w:val="00F94174"/>
    <w:rsid w:val="00F960D0"/>
    <w:rsid w:val="00FA3866"/>
    <w:rsid w:val="00FA3BC6"/>
    <w:rsid w:val="00FA6306"/>
    <w:rsid w:val="00FA77C4"/>
    <w:rsid w:val="00FA77F3"/>
    <w:rsid w:val="00FB1DFB"/>
    <w:rsid w:val="00FB37E7"/>
    <w:rsid w:val="00FB672C"/>
    <w:rsid w:val="00FC39AD"/>
    <w:rsid w:val="00FC6979"/>
    <w:rsid w:val="00FC77D1"/>
    <w:rsid w:val="00FC7DE2"/>
    <w:rsid w:val="00FC7FAD"/>
    <w:rsid w:val="00FD217B"/>
    <w:rsid w:val="00FD73B7"/>
    <w:rsid w:val="00FE0F32"/>
    <w:rsid w:val="00FE26BF"/>
    <w:rsid w:val="00FE704C"/>
    <w:rsid w:val="00FF2AC0"/>
    <w:rsid w:val="00FF2CBA"/>
    <w:rsid w:val="00FF38FD"/>
    <w:rsid w:val="011F3722"/>
    <w:rsid w:val="012720B8"/>
    <w:rsid w:val="014A1DE2"/>
    <w:rsid w:val="018C3E7D"/>
    <w:rsid w:val="027268BE"/>
    <w:rsid w:val="02FD7005"/>
    <w:rsid w:val="03391357"/>
    <w:rsid w:val="03487947"/>
    <w:rsid w:val="03A825F7"/>
    <w:rsid w:val="03E5560B"/>
    <w:rsid w:val="045C4A25"/>
    <w:rsid w:val="04841C1F"/>
    <w:rsid w:val="04B068FB"/>
    <w:rsid w:val="06216C74"/>
    <w:rsid w:val="065D3EB9"/>
    <w:rsid w:val="06661C5B"/>
    <w:rsid w:val="06842E9A"/>
    <w:rsid w:val="06954AF6"/>
    <w:rsid w:val="069D61BF"/>
    <w:rsid w:val="086724C2"/>
    <w:rsid w:val="08CE55BE"/>
    <w:rsid w:val="08DD4532"/>
    <w:rsid w:val="09660B46"/>
    <w:rsid w:val="096E0B8C"/>
    <w:rsid w:val="09D05D96"/>
    <w:rsid w:val="0A252FCA"/>
    <w:rsid w:val="0A481111"/>
    <w:rsid w:val="0A8C310B"/>
    <w:rsid w:val="0A9213C3"/>
    <w:rsid w:val="0B4C689D"/>
    <w:rsid w:val="0B565F93"/>
    <w:rsid w:val="0B5A036B"/>
    <w:rsid w:val="0B7F1CFF"/>
    <w:rsid w:val="0BC40C44"/>
    <w:rsid w:val="0BED17F6"/>
    <w:rsid w:val="0BF63C83"/>
    <w:rsid w:val="0C9F310A"/>
    <w:rsid w:val="0D05002F"/>
    <w:rsid w:val="0DA64899"/>
    <w:rsid w:val="0DF4566D"/>
    <w:rsid w:val="0E0257FB"/>
    <w:rsid w:val="0E804F21"/>
    <w:rsid w:val="0EE14F40"/>
    <w:rsid w:val="0EE5021C"/>
    <w:rsid w:val="0FDD0708"/>
    <w:rsid w:val="104A2C98"/>
    <w:rsid w:val="107D6B99"/>
    <w:rsid w:val="10EA7ECE"/>
    <w:rsid w:val="11537F89"/>
    <w:rsid w:val="12E561B2"/>
    <w:rsid w:val="1302089E"/>
    <w:rsid w:val="13030C5E"/>
    <w:rsid w:val="1310117B"/>
    <w:rsid w:val="13800120"/>
    <w:rsid w:val="13C01269"/>
    <w:rsid w:val="13F217DA"/>
    <w:rsid w:val="146C4DF0"/>
    <w:rsid w:val="154F0566"/>
    <w:rsid w:val="1699418F"/>
    <w:rsid w:val="16A92D31"/>
    <w:rsid w:val="16EE3278"/>
    <w:rsid w:val="173338FA"/>
    <w:rsid w:val="17686485"/>
    <w:rsid w:val="177F588B"/>
    <w:rsid w:val="17AF79E2"/>
    <w:rsid w:val="17D33368"/>
    <w:rsid w:val="17EE3F20"/>
    <w:rsid w:val="183866F2"/>
    <w:rsid w:val="1887436D"/>
    <w:rsid w:val="1897626C"/>
    <w:rsid w:val="18AA1942"/>
    <w:rsid w:val="19DE3087"/>
    <w:rsid w:val="1A2956E9"/>
    <w:rsid w:val="1A2E1092"/>
    <w:rsid w:val="1A7D20A7"/>
    <w:rsid w:val="1AC469A3"/>
    <w:rsid w:val="1AE37CF5"/>
    <w:rsid w:val="1B1654AE"/>
    <w:rsid w:val="1BB54A4A"/>
    <w:rsid w:val="1BBA5E00"/>
    <w:rsid w:val="1BC02658"/>
    <w:rsid w:val="1BCA2A0D"/>
    <w:rsid w:val="1BE76462"/>
    <w:rsid w:val="1C0019FC"/>
    <w:rsid w:val="1C1C2754"/>
    <w:rsid w:val="1CD41491"/>
    <w:rsid w:val="1CE96912"/>
    <w:rsid w:val="1CF6532E"/>
    <w:rsid w:val="1D3A1AFC"/>
    <w:rsid w:val="1D8A08E2"/>
    <w:rsid w:val="1D951428"/>
    <w:rsid w:val="1E1E13A6"/>
    <w:rsid w:val="1E2A1FBC"/>
    <w:rsid w:val="1E8E48DD"/>
    <w:rsid w:val="1E9A4F48"/>
    <w:rsid w:val="1F0C4903"/>
    <w:rsid w:val="1F163B0B"/>
    <w:rsid w:val="1F1E2843"/>
    <w:rsid w:val="1F7C36A1"/>
    <w:rsid w:val="1F824598"/>
    <w:rsid w:val="1F8A4E7D"/>
    <w:rsid w:val="1FB2564F"/>
    <w:rsid w:val="20222A07"/>
    <w:rsid w:val="20E0192A"/>
    <w:rsid w:val="20EF09AB"/>
    <w:rsid w:val="215E3EEA"/>
    <w:rsid w:val="2233734A"/>
    <w:rsid w:val="225125E9"/>
    <w:rsid w:val="22980CCA"/>
    <w:rsid w:val="22F307C6"/>
    <w:rsid w:val="23092D57"/>
    <w:rsid w:val="235A7B44"/>
    <w:rsid w:val="238D4753"/>
    <w:rsid w:val="23DD4090"/>
    <w:rsid w:val="242D4168"/>
    <w:rsid w:val="243A6885"/>
    <w:rsid w:val="243C7DED"/>
    <w:rsid w:val="24440C2D"/>
    <w:rsid w:val="24FD4244"/>
    <w:rsid w:val="250A0BAF"/>
    <w:rsid w:val="25112F52"/>
    <w:rsid w:val="255E5F7B"/>
    <w:rsid w:val="25665B84"/>
    <w:rsid w:val="262B30D0"/>
    <w:rsid w:val="2636687B"/>
    <w:rsid w:val="2691434F"/>
    <w:rsid w:val="26FE083F"/>
    <w:rsid w:val="281610D6"/>
    <w:rsid w:val="28180360"/>
    <w:rsid w:val="2892626C"/>
    <w:rsid w:val="28EA0F6A"/>
    <w:rsid w:val="29620FD5"/>
    <w:rsid w:val="29D529E4"/>
    <w:rsid w:val="2A5646CE"/>
    <w:rsid w:val="2A7F0714"/>
    <w:rsid w:val="2AD63CED"/>
    <w:rsid w:val="2AEE6DA0"/>
    <w:rsid w:val="2BF43131"/>
    <w:rsid w:val="2C6E16F4"/>
    <w:rsid w:val="2C7451CA"/>
    <w:rsid w:val="2D4744ED"/>
    <w:rsid w:val="2DF11D00"/>
    <w:rsid w:val="2E994645"/>
    <w:rsid w:val="2FA15A0A"/>
    <w:rsid w:val="300C7F94"/>
    <w:rsid w:val="30B24279"/>
    <w:rsid w:val="30BF6B3F"/>
    <w:rsid w:val="30E83AA3"/>
    <w:rsid w:val="310444A3"/>
    <w:rsid w:val="3123722B"/>
    <w:rsid w:val="31D245A1"/>
    <w:rsid w:val="324803BF"/>
    <w:rsid w:val="334B3360"/>
    <w:rsid w:val="33B57CD6"/>
    <w:rsid w:val="34864516"/>
    <w:rsid w:val="35132191"/>
    <w:rsid w:val="35BC10D7"/>
    <w:rsid w:val="35C92419"/>
    <w:rsid w:val="35F9642F"/>
    <w:rsid w:val="37176879"/>
    <w:rsid w:val="381E12F2"/>
    <w:rsid w:val="38594DDF"/>
    <w:rsid w:val="38E269EA"/>
    <w:rsid w:val="397A13A0"/>
    <w:rsid w:val="39987061"/>
    <w:rsid w:val="3A8B1770"/>
    <w:rsid w:val="3A974DB8"/>
    <w:rsid w:val="3AB314D4"/>
    <w:rsid w:val="3AC84793"/>
    <w:rsid w:val="3AFF38DF"/>
    <w:rsid w:val="3C07419C"/>
    <w:rsid w:val="3C780AEF"/>
    <w:rsid w:val="3CCB35A5"/>
    <w:rsid w:val="3D582DD1"/>
    <w:rsid w:val="3DA72764"/>
    <w:rsid w:val="3DC1154D"/>
    <w:rsid w:val="3E1A0A9C"/>
    <w:rsid w:val="3E4E711B"/>
    <w:rsid w:val="3E5E32B9"/>
    <w:rsid w:val="3ECE5E4E"/>
    <w:rsid w:val="3F4A5320"/>
    <w:rsid w:val="3F5B7A73"/>
    <w:rsid w:val="3FC14787"/>
    <w:rsid w:val="3FC221BD"/>
    <w:rsid w:val="40080106"/>
    <w:rsid w:val="40713772"/>
    <w:rsid w:val="40BB04B8"/>
    <w:rsid w:val="40E34A44"/>
    <w:rsid w:val="40EB4D37"/>
    <w:rsid w:val="41697319"/>
    <w:rsid w:val="424B4A4E"/>
    <w:rsid w:val="42ED3362"/>
    <w:rsid w:val="43674A19"/>
    <w:rsid w:val="438947D5"/>
    <w:rsid w:val="438E1FF6"/>
    <w:rsid w:val="440D6621"/>
    <w:rsid w:val="44CD7837"/>
    <w:rsid w:val="44EE266C"/>
    <w:rsid w:val="45317A52"/>
    <w:rsid w:val="45537C0E"/>
    <w:rsid w:val="456D0FE5"/>
    <w:rsid w:val="456E7BF1"/>
    <w:rsid w:val="46B144C1"/>
    <w:rsid w:val="46D63DE2"/>
    <w:rsid w:val="478054E1"/>
    <w:rsid w:val="47E56E31"/>
    <w:rsid w:val="4856632D"/>
    <w:rsid w:val="48D1752D"/>
    <w:rsid w:val="493D00FA"/>
    <w:rsid w:val="49916FB3"/>
    <w:rsid w:val="49B32AB9"/>
    <w:rsid w:val="49DE18DD"/>
    <w:rsid w:val="4A170ED7"/>
    <w:rsid w:val="4A7E5155"/>
    <w:rsid w:val="4ABA7666"/>
    <w:rsid w:val="4B754CC0"/>
    <w:rsid w:val="4B8A0B69"/>
    <w:rsid w:val="4BE86EFE"/>
    <w:rsid w:val="4BF30846"/>
    <w:rsid w:val="4C2A2E4D"/>
    <w:rsid w:val="4C514CFA"/>
    <w:rsid w:val="4CD72947"/>
    <w:rsid w:val="4D2C0E5B"/>
    <w:rsid w:val="4D6849C1"/>
    <w:rsid w:val="4DAB41CC"/>
    <w:rsid w:val="4E10091D"/>
    <w:rsid w:val="4EFE73A3"/>
    <w:rsid w:val="4F0127DD"/>
    <w:rsid w:val="4F544A53"/>
    <w:rsid w:val="4FB4711A"/>
    <w:rsid w:val="4FDC48AB"/>
    <w:rsid w:val="4FDE2004"/>
    <w:rsid w:val="50096F88"/>
    <w:rsid w:val="5070664D"/>
    <w:rsid w:val="50A758A7"/>
    <w:rsid w:val="51032C2A"/>
    <w:rsid w:val="510C5CD2"/>
    <w:rsid w:val="512F0B5B"/>
    <w:rsid w:val="51496140"/>
    <w:rsid w:val="517C2D91"/>
    <w:rsid w:val="51BE0A70"/>
    <w:rsid w:val="51D84E64"/>
    <w:rsid w:val="522131C4"/>
    <w:rsid w:val="52DD0CD3"/>
    <w:rsid w:val="53066AF8"/>
    <w:rsid w:val="53734240"/>
    <w:rsid w:val="53E20D01"/>
    <w:rsid w:val="544722CB"/>
    <w:rsid w:val="546155E5"/>
    <w:rsid w:val="54DF7088"/>
    <w:rsid w:val="55857E94"/>
    <w:rsid w:val="55A61E62"/>
    <w:rsid w:val="55C33ACC"/>
    <w:rsid w:val="56186177"/>
    <w:rsid w:val="56390D01"/>
    <w:rsid w:val="571A02A9"/>
    <w:rsid w:val="57983D40"/>
    <w:rsid w:val="57A947D0"/>
    <w:rsid w:val="57AC4DEA"/>
    <w:rsid w:val="583F2F30"/>
    <w:rsid w:val="584205E9"/>
    <w:rsid w:val="58EA7EDA"/>
    <w:rsid w:val="591B0335"/>
    <w:rsid w:val="59AD0511"/>
    <w:rsid w:val="59E972A5"/>
    <w:rsid w:val="59F75891"/>
    <w:rsid w:val="5A8A7FA1"/>
    <w:rsid w:val="5A8F5F1A"/>
    <w:rsid w:val="5B302A12"/>
    <w:rsid w:val="5B395B27"/>
    <w:rsid w:val="5B3C4C02"/>
    <w:rsid w:val="5B4E795B"/>
    <w:rsid w:val="5BB15E85"/>
    <w:rsid w:val="5BC86B14"/>
    <w:rsid w:val="5C0321F0"/>
    <w:rsid w:val="5C6435E3"/>
    <w:rsid w:val="5CA774CC"/>
    <w:rsid w:val="5D4144A2"/>
    <w:rsid w:val="5F121547"/>
    <w:rsid w:val="60057647"/>
    <w:rsid w:val="605E6C9D"/>
    <w:rsid w:val="60DF6A4D"/>
    <w:rsid w:val="61BA5105"/>
    <w:rsid w:val="62263BE4"/>
    <w:rsid w:val="623D6281"/>
    <w:rsid w:val="624774C3"/>
    <w:rsid w:val="625978FB"/>
    <w:rsid w:val="625B14F8"/>
    <w:rsid w:val="630C23D1"/>
    <w:rsid w:val="63657EBE"/>
    <w:rsid w:val="63732A13"/>
    <w:rsid w:val="63BA1F5F"/>
    <w:rsid w:val="63F86539"/>
    <w:rsid w:val="6418473C"/>
    <w:rsid w:val="646C78D6"/>
    <w:rsid w:val="647A76DD"/>
    <w:rsid w:val="64B6224A"/>
    <w:rsid w:val="64DE0484"/>
    <w:rsid w:val="652D7CA5"/>
    <w:rsid w:val="65501489"/>
    <w:rsid w:val="66C102E0"/>
    <w:rsid w:val="6731532C"/>
    <w:rsid w:val="67356BAD"/>
    <w:rsid w:val="67BF3871"/>
    <w:rsid w:val="68046DB7"/>
    <w:rsid w:val="683F644C"/>
    <w:rsid w:val="686F31AA"/>
    <w:rsid w:val="698528B0"/>
    <w:rsid w:val="6A0527A6"/>
    <w:rsid w:val="6A291E97"/>
    <w:rsid w:val="6A5A3400"/>
    <w:rsid w:val="6A830487"/>
    <w:rsid w:val="6A8954A7"/>
    <w:rsid w:val="6A8B6891"/>
    <w:rsid w:val="6AA76594"/>
    <w:rsid w:val="6AF77B00"/>
    <w:rsid w:val="6B7334CD"/>
    <w:rsid w:val="6BBE1669"/>
    <w:rsid w:val="6BD56829"/>
    <w:rsid w:val="6C227B1A"/>
    <w:rsid w:val="6C5F6BF3"/>
    <w:rsid w:val="6C831A47"/>
    <w:rsid w:val="6CEF1588"/>
    <w:rsid w:val="6DC558F7"/>
    <w:rsid w:val="6E970129"/>
    <w:rsid w:val="6F7772E8"/>
    <w:rsid w:val="70147082"/>
    <w:rsid w:val="701622E9"/>
    <w:rsid w:val="708D4289"/>
    <w:rsid w:val="70D0347E"/>
    <w:rsid w:val="713A4E88"/>
    <w:rsid w:val="713D269F"/>
    <w:rsid w:val="71D630DD"/>
    <w:rsid w:val="721816B3"/>
    <w:rsid w:val="72273572"/>
    <w:rsid w:val="73002A97"/>
    <w:rsid w:val="73035C41"/>
    <w:rsid w:val="73531284"/>
    <w:rsid w:val="73D23906"/>
    <w:rsid w:val="73E84F83"/>
    <w:rsid w:val="74277118"/>
    <w:rsid w:val="74803C6C"/>
    <w:rsid w:val="74D764FA"/>
    <w:rsid w:val="74DF0607"/>
    <w:rsid w:val="74E04747"/>
    <w:rsid w:val="7501607E"/>
    <w:rsid w:val="752E3100"/>
    <w:rsid w:val="753E0E0F"/>
    <w:rsid w:val="75455A28"/>
    <w:rsid w:val="75616772"/>
    <w:rsid w:val="75C740E8"/>
    <w:rsid w:val="75EB3EDE"/>
    <w:rsid w:val="75F33706"/>
    <w:rsid w:val="76251682"/>
    <w:rsid w:val="763D4224"/>
    <w:rsid w:val="768076F4"/>
    <w:rsid w:val="76B47317"/>
    <w:rsid w:val="76D536FE"/>
    <w:rsid w:val="76E01F41"/>
    <w:rsid w:val="770C3F97"/>
    <w:rsid w:val="77666D4C"/>
    <w:rsid w:val="7815648F"/>
    <w:rsid w:val="78182516"/>
    <w:rsid w:val="78216CB5"/>
    <w:rsid w:val="7841598D"/>
    <w:rsid w:val="788261D8"/>
    <w:rsid w:val="78B557DA"/>
    <w:rsid w:val="78EC135A"/>
    <w:rsid w:val="793143F1"/>
    <w:rsid w:val="79371DA8"/>
    <w:rsid w:val="79422F8A"/>
    <w:rsid w:val="7944484A"/>
    <w:rsid w:val="79BE67AF"/>
    <w:rsid w:val="79CE07C5"/>
    <w:rsid w:val="7A1631C7"/>
    <w:rsid w:val="7A1736BF"/>
    <w:rsid w:val="7A614F63"/>
    <w:rsid w:val="7B446F42"/>
    <w:rsid w:val="7B6876FE"/>
    <w:rsid w:val="7BB15828"/>
    <w:rsid w:val="7BC63BBE"/>
    <w:rsid w:val="7BF50F38"/>
    <w:rsid w:val="7C4B141B"/>
    <w:rsid w:val="7D257337"/>
    <w:rsid w:val="7EF833BD"/>
    <w:rsid w:val="7F32585A"/>
    <w:rsid w:val="7F596D35"/>
    <w:rsid w:val="7F723548"/>
    <w:rsid w:val="7FC27A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jc w:val="right"/>
      <w:outlineLvl w:val="0"/>
    </w:pPr>
    <w:rPr>
      <w:rFonts w:ascii="华文彩云"/>
      <w:sz w:val="84"/>
    </w:rPr>
  </w:style>
  <w:style w:type="paragraph" w:styleId="3">
    <w:name w:val="heading 2"/>
    <w:basedOn w:val="1"/>
    <w:next w:val="1"/>
    <w:link w:val="24"/>
    <w:qFormat/>
    <w:uiPriority w:val="0"/>
    <w:pPr>
      <w:keepNext/>
      <w:keepLines/>
      <w:outlineLvl w:val="1"/>
    </w:pPr>
    <w:rPr>
      <w:rFonts w:ascii="宋体" w:hAnsi="宋体"/>
      <w:b/>
      <w:bCs/>
      <w:color w:val="FF0000"/>
      <w:sz w:val="30"/>
      <w:szCs w:val="32"/>
    </w:rPr>
  </w:style>
  <w:style w:type="character" w:default="1" w:styleId="18">
    <w:name w:val="Default Paragraph Font"/>
    <w:link w:val="19"/>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4">
    <w:name w:val="Document Map"/>
    <w:basedOn w:val="1"/>
    <w:semiHidden/>
    <w:qFormat/>
    <w:uiPriority w:val="0"/>
    <w:pPr>
      <w:shd w:val="clear" w:color="auto" w:fill="000080"/>
    </w:pPr>
  </w:style>
  <w:style w:type="paragraph" w:styleId="5">
    <w:name w:val="annotation text"/>
    <w:basedOn w:val="1"/>
    <w:qFormat/>
    <w:uiPriority w:val="0"/>
    <w:pPr>
      <w:jc w:val="left"/>
    </w:pPr>
  </w:style>
  <w:style w:type="paragraph" w:styleId="6">
    <w:name w:val="Body Text"/>
    <w:basedOn w:val="1"/>
    <w:link w:val="25"/>
    <w:qFormat/>
    <w:uiPriority w:val="0"/>
    <w:rPr>
      <w:rFonts w:ascii="宋体"/>
      <w:color w:val="0000FF"/>
      <w:sz w:val="28"/>
    </w:rPr>
  </w:style>
  <w:style w:type="paragraph" w:styleId="7">
    <w:name w:val="Body Text Indent"/>
    <w:basedOn w:val="1"/>
    <w:qFormat/>
    <w:uiPriority w:val="0"/>
    <w:pPr>
      <w:ind w:firstLine="570"/>
    </w:pPr>
    <w:rPr>
      <w:rFonts w:ascii="宋体"/>
      <w:color w:val="0000FF"/>
      <w:sz w:val="28"/>
    </w:rPr>
  </w:style>
  <w:style w:type="paragraph" w:styleId="8">
    <w:name w:val="Plain Text"/>
    <w:basedOn w:val="1"/>
    <w:link w:val="26"/>
    <w:qFormat/>
    <w:uiPriority w:val="0"/>
    <w:rPr>
      <w:rFonts w:ascii="宋体" w:hAnsi="Courier New" w:cs="Courier New"/>
      <w:szCs w:val="21"/>
    </w:rPr>
  </w:style>
  <w:style w:type="paragraph" w:styleId="9">
    <w:name w:val="Date"/>
    <w:basedOn w:val="1"/>
    <w:next w:val="1"/>
    <w:qFormat/>
    <w:uiPriority w:val="0"/>
    <w:pPr>
      <w:ind w:left="100" w:leftChars="2500"/>
    </w:pPr>
    <w:rPr>
      <w:rFonts w:ascii="宋体"/>
      <w:sz w:val="28"/>
    </w:rPr>
  </w:style>
  <w:style w:type="paragraph" w:styleId="10">
    <w:name w:val="Body Text Indent 2"/>
    <w:basedOn w:val="1"/>
    <w:qFormat/>
    <w:uiPriority w:val="0"/>
    <w:pPr>
      <w:ind w:firstLine="570"/>
    </w:pPr>
    <w:rPr>
      <w:rFonts w:ascii="宋体"/>
      <w:sz w:val="28"/>
    </w:rPr>
  </w:style>
  <w:style w:type="paragraph" w:styleId="11">
    <w:name w:val="Balloon Text"/>
    <w:basedOn w:val="1"/>
    <w:semiHidden/>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semiHidden/>
    <w:qFormat/>
    <w:uiPriority w:val="0"/>
    <w:pPr>
      <w:tabs>
        <w:tab w:val="right" w:leader="dot" w:pos="9402"/>
      </w:tabs>
    </w:pPr>
    <w:rPr>
      <w:rFonts w:ascii="宋体" w:hAnsi="宋体"/>
      <w:sz w:val="28"/>
      <w:szCs w:val="28"/>
    </w:rPr>
  </w:style>
  <w:style w:type="paragraph" w:styleId="15">
    <w:name w:val="Body Text Indent 3"/>
    <w:basedOn w:val="1"/>
    <w:link w:val="27"/>
    <w:qFormat/>
    <w:uiPriority w:val="0"/>
    <w:pPr>
      <w:ind w:firstLine="570"/>
    </w:pPr>
    <w:rPr>
      <w:rFonts w:ascii="宋体"/>
      <w:b/>
      <w:bCs/>
      <w:sz w:val="28"/>
    </w:rPr>
  </w:style>
  <w:style w:type="paragraph" w:styleId="16">
    <w:name w:val="Normal (Web)"/>
    <w:basedOn w:val="1"/>
    <w:qFormat/>
    <w:uiPriority w:val="0"/>
    <w:pPr>
      <w:widowControl/>
      <w:spacing w:before="100" w:beforeAutospacing="1" w:after="100" w:afterAutospacing="1"/>
      <w:jc w:val="left"/>
    </w:pPr>
    <w:rPr>
      <w:rFonts w:ascii="宋体" w:hAnsi="宋体"/>
      <w:kern w:val="0"/>
      <w:sz w:val="24"/>
    </w:rPr>
  </w:style>
  <w:style w:type="paragraph" w:customStyle="1" w:styleId="19">
    <w:name w:val="Char"/>
    <w:basedOn w:val="1"/>
    <w:link w:val="18"/>
    <w:qFormat/>
    <w:uiPriority w:val="0"/>
  </w:style>
  <w:style w:type="character" w:styleId="20">
    <w:name w:val="Strong"/>
    <w:basedOn w:val="18"/>
    <w:qFormat/>
    <w:uiPriority w:val="0"/>
    <w:rPr>
      <w:b/>
      <w:bCs/>
    </w:rPr>
  </w:style>
  <w:style w:type="character" w:styleId="21">
    <w:name w:val="page number"/>
    <w:basedOn w:val="18"/>
    <w:qFormat/>
    <w:uiPriority w:val="0"/>
  </w:style>
  <w:style w:type="character" w:styleId="22">
    <w:name w:val="Hyperlink"/>
    <w:basedOn w:val="18"/>
    <w:qFormat/>
    <w:uiPriority w:val="0"/>
    <w:rPr>
      <w:color w:val="0000FF"/>
      <w:u w:val="single"/>
    </w:rPr>
  </w:style>
  <w:style w:type="character" w:styleId="23">
    <w:name w:val="annotation reference"/>
    <w:qFormat/>
    <w:uiPriority w:val="0"/>
    <w:rPr>
      <w:sz w:val="21"/>
      <w:szCs w:val="21"/>
    </w:rPr>
  </w:style>
  <w:style w:type="character" w:customStyle="1" w:styleId="24">
    <w:name w:val=" Char Char11"/>
    <w:link w:val="3"/>
    <w:qFormat/>
    <w:uiPriority w:val="0"/>
    <w:rPr>
      <w:rFonts w:ascii="宋体" w:hAnsi="宋体" w:eastAsia="宋体"/>
      <w:b/>
      <w:bCs/>
      <w:color w:val="FF0000"/>
      <w:kern w:val="2"/>
      <w:sz w:val="30"/>
      <w:szCs w:val="32"/>
      <w:lang w:val="en-US" w:eastAsia="zh-CN" w:bidi="ar-SA"/>
    </w:rPr>
  </w:style>
  <w:style w:type="character" w:customStyle="1" w:styleId="25">
    <w:name w:val="正文文本_"/>
    <w:basedOn w:val="18"/>
    <w:link w:val="6"/>
    <w:qFormat/>
    <w:uiPriority w:val="0"/>
    <w:rPr>
      <w:rFonts w:ascii="宋体" w:eastAsia="宋体"/>
      <w:color w:val="0000FF"/>
      <w:kern w:val="2"/>
      <w:sz w:val="28"/>
      <w:szCs w:val="24"/>
      <w:lang w:val="en-US" w:eastAsia="zh-CN" w:bidi="ar-SA"/>
    </w:rPr>
  </w:style>
  <w:style w:type="character" w:customStyle="1" w:styleId="26">
    <w:name w:val=" Char Char Char"/>
    <w:basedOn w:val="18"/>
    <w:link w:val="8"/>
    <w:qFormat/>
    <w:uiPriority w:val="0"/>
    <w:rPr>
      <w:rFonts w:ascii="宋体" w:hAnsi="Courier New" w:eastAsia="宋体" w:cs="Courier New"/>
      <w:kern w:val="2"/>
      <w:sz w:val="21"/>
      <w:szCs w:val="21"/>
      <w:lang w:val="en-US" w:eastAsia="zh-CN" w:bidi="ar-SA"/>
    </w:rPr>
  </w:style>
  <w:style w:type="character" w:customStyle="1" w:styleId="27">
    <w:name w:val=" Char Char3"/>
    <w:link w:val="15"/>
    <w:qFormat/>
    <w:uiPriority w:val="0"/>
    <w:rPr>
      <w:rFonts w:ascii="宋体" w:eastAsia="宋体"/>
      <w:b/>
      <w:bCs/>
      <w:kern w:val="2"/>
      <w:sz w:val="28"/>
      <w:szCs w:val="24"/>
      <w:lang w:val="en-US" w:eastAsia="zh-CN" w:bidi="ar-SA"/>
    </w:rPr>
  </w:style>
  <w:style w:type="character" w:customStyle="1" w:styleId="28">
    <w:name w:val="段 Char"/>
    <w:basedOn w:val="18"/>
    <w:link w:val="29"/>
    <w:qFormat/>
    <w:uiPriority w:val="0"/>
    <w:rPr>
      <w:rFonts w:ascii="宋体" w:eastAsia="宋体"/>
      <w:sz w:val="21"/>
      <w:lang w:val="en-US" w:eastAsia="zh-CN" w:bidi="ar-SA"/>
    </w:rPr>
  </w:style>
  <w:style w:type="paragraph" w:customStyle="1" w:styleId="29">
    <w:name w:val="段"/>
    <w:link w:val="2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0">
    <w:name w:val="Char1"/>
    <w:basedOn w:val="1"/>
    <w:qFormat/>
    <w:uiPriority w:val="0"/>
    <w:pPr>
      <w:autoSpaceDE w:val="0"/>
      <w:autoSpaceDN w:val="0"/>
      <w:adjustRightInd w:val="0"/>
      <w:snapToGrid w:val="0"/>
      <w:spacing w:before="50" w:after="50" w:line="360" w:lineRule="auto"/>
      <w:ind w:firstLine="560" w:firstLineChars="200"/>
    </w:pPr>
    <w:rPr>
      <w:szCs w:val="20"/>
    </w:rPr>
  </w:style>
  <w:style w:type="paragraph" w:customStyle="1" w:styleId="31">
    <w:name w:val=" Char Char3 Char Char"/>
    <w:basedOn w:val="1"/>
    <w:qFormat/>
    <w:uiPriority w:val="0"/>
  </w:style>
  <w:style w:type="paragraph" w:customStyle="1" w:styleId="32">
    <w:name w:val="Char Char Char Char"/>
    <w:basedOn w:val="1"/>
    <w:qFormat/>
    <w:uiPriority w:val="0"/>
  </w:style>
  <w:style w:type="paragraph" w:styleId="33">
    <w:name w:val="List Paragraph"/>
    <w:basedOn w:val="1"/>
    <w:qFormat/>
    <w:uiPriority w:val="1"/>
    <w:pPr>
      <w:ind w:left="847" w:hanging="736"/>
    </w:pPr>
    <w:rPr>
      <w:rFonts w:ascii="宋体" w:hAnsi="宋体" w:eastAsia="宋体" w:cs="宋体"/>
      <w:lang w:val="ca-ES" w:eastAsia="ca-ES" w:bidi="ca-ES"/>
    </w:rPr>
  </w:style>
  <w:style w:type="paragraph" w:customStyle="1" w:styleId="34">
    <w:name w:val="样式 宋体 小二 加粗 居中 行距: 固定值 28 磅"/>
    <w:basedOn w:val="1"/>
    <w:qFormat/>
    <w:uiPriority w:val="0"/>
    <w:pPr>
      <w:spacing w:line="560" w:lineRule="exact"/>
      <w:jc w:val="center"/>
    </w:pPr>
    <w:rPr>
      <w:rFonts w:ascii="宋体" w:hAnsi="宋体" w:cs="宋体"/>
      <w:b/>
      <w:bCs/>
      <w:sz w:val="36"/>
      <w:szCs w:val="20"/>
    </w:rPr>
  </w:style>
  <w:style w:type="paragraph" w:customStyle="1" w:styleId="35">
    <w:name w:val="TT正文"/>
    <w:qFormat/>
    <w:uiPriority w:val="0"/>
    <w:pPr>
      <w:widowControl w:val="0"/>
      <w:topLinePunct/>
      <w:adjustRightInd w:val="0"/>
      <w:snapToGrid w:val="0"/>
      <w:spacing w:line="520" w:lineRule="exact"/>
      <w:ind w:firstLine="200" w:firstLineChars="200"/>
      <w:jc w:val="both"/>
    </w:pPr>
    <w:rPr>
      <w:rFonts w:ascii="Times New Roman" w:hAnsi="Times New Roman" w:eastAsia="宋体" w:cs="Times New Roman"/>
      <w:kern w:val="2"/>
      <w:sz w:val="28"/>
      <w:szCs w:val="28"/>
      <w:lang w:val="en-US" w:eastAsia="zh-CN" w:bidi="ar-SA"/>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5.jpeg"/><Relationship Id="rId25" Type="http://schemas.openxmlformats.org/officeDocument/2006/relationships/image" Target="media/image4.jpeg"/><Relationship Id="rId24" Type="http://schemas.openxmlformats.org/officeDocument/2006/relationships/image" Target="media/image3.jpeg"/><Relationship Id="rId23" Type="http://schemas.openxmlformats.org/officeDocument/2006/relationships/image" Target="media/image2.jpeg"/><Relationship Id="rId22" Type="http://schemas.openxmlformats.org/officeDocument/2006/relationships/image" Target="media/image1.jpeg"/><Relationship Id="rId21" Type="http://schemas.openxmlformats.org/officeDocument/2006/relationships/theme" Target="theme/theme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Co.</Company>
  <Pages>11</Pages>
  <Words>4064</Words>
  <Characters>4537</Characters>
  <Lines>210</Lines>
  <Paragraphs>59</Paragraphs>
  <TotalTime>3</TotalTime>
  <ScaleCrop>false</ScaleCrop>
  <LinksUpToDate>false</LinksUpToDate>
  <CharactersWithSpaces>4937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2013-10-23T03:06:00Z</dcterms:created>
  <dc:creator>SONY</dc:creator>
  <cp:lastModifiedBy>华姐</cp:lastModifiedBy>
  <cp:lastPrinted>2018-07-19T04:35:00Z</cp:lastPrinted>
  <dcterms:modified xsi:type="dcterms:W3CDTF">2022-07-14T07:43:22Z</dcterms:modified>
  <dc:title>AQ</dc:title>
  <cp:revision>479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3F646615C2BA4B1CAAB8052C3E530D09</vt:lpwstr>
  </property>
</Properties>
</file>