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5"/>
      </w:pPr>
      <w:bookmarkStart w:id="0" w:name="WXFLH"/>
      <w:r>
        <w:rPr>
          <w:rFonts w:ascii="Times New Roman"/>
        </w:rPr>
        <w:t>ICS</w:t>
      </w:r>
      <w:r>
        <w:rPr>
          <w:rFonts w:hAnsi="黑体"/>
        </w:rPr>
        <w:t> </w:t>
      </w:r>
      <w:r>
        <w:t xml:space="preserve">03.100.01 </w:t>
      </w:r>
    </w:p>
    <w:p>
      <w:pPr>
        <w:pStyle w:val="125"/>
      </w:pPr>
      <w:r>
        <w:t>A 02</w:t>
      </w:r>
      <w:bookmarkEnd w:id="0"/>
    </w:p>
    <w:p>
      <w:pPr>
        <w:pStyle w:val="125"/>
      </w:pPr>
    </w:p>
    <w:p>
      <w:pPr>
        <w:pStyle w:val="111"/>
      </w:pPr>
      <w:r>
        <w:t>DB</w:t>
      </w:r>
      <w:bookmarkStart w:id="1" w:name="c3"/>
      <w:r>
        <w:t>13</w:t>
      </w:r>
      <w:bookmarkEnd w:id="1"/>
    </w:p>
    <w:p>
      <w:pPr>
        <w:pStyle w:val="112"/>
      </w:pPr>
      <w:bookmarkStart w:id="2" w:name="c4"/>
      <w:r>
        <w:rPr>
          <w:rFonts w:hint="eastAsia"/>
        </w:rPr>
        <w:t>河北省</w:t>
      </w:r>
      <w:bookmarkEnd w:id="2"/>
      <w:r>
        <w:rPr>
          <w:rFonts w:hint="eastAsia"/>
        </w:rPr>
        <w:t>地方标准</w:t>
      </w:r>
    </w:p>
    <w:p>
      <w:pPr>
        <w:pStyle w:val="49"/>
        <w:rPr>
          <w:rFonts w:hAnsi="黑体"/>
        </w:rPr>
      </w:pPr>
      <w:r>
        <w:rPr>
          <w:rFonts w:ascii="Times New Roman"/>
        </w:rPr>
        <w:t xml:space="preserve">DB </w:t>
      </w:r>
      <w:bookmarkStart w:id="3" w:name="StdNo0"/>
      <w:r>
        <w:rPr>
          <w:rFonts w:hAnsi="黑体"/>
        </w:rPr>
        <w:fldChar w:fldCharType="begin">
          <w:ffData>
            <w:name w:val="StdNo0"/>
            <w:enabled/>
            <w:calcOnExit w:val="0"/>
            <w:textInput>
              <w:default w:val="XX"/>
              <w:maxLength w:val="2"/>
            </w:textInput>
          </w:ffData>
        </w:fldChar>
      </w:r>
      <w:r>
        <w:rPr>
          <w:rFonts w:hAnsi="黑体"/>
        </w:rPr>
        <w:instrText xml:space="preserve"> FORMTEXT </w:instrText>
      </w:r>
      <w:r>
        <w:rPr>
          <w:rFonts w:hAnsi="黑体"/>
        </w:rPr>
        <w:fldChar w:fldCharType="separate"/>
      </w:r>
      <w:r>
        <w:rPr>
          <w:rFonts w:hAnsi="黑体"/>
        </w:rPr>
        <w:t>13</w:t>
      </w:r>
      <w:r>
        <w:rPr>
          <w:rFonts w:hAnsi="黑体"/>
        </w:rPr>
        <w:fldChar w:fldCharType="end"/>
      </w:r>
      <w:bookmarkEnd w:id="3"/>
      <w:r>
        <w:rPr>
          <w:rFonts w:hAnsi="黑体"/>
        </w:rPr>
        <w:t>/T</w:t>
      </w:r>
      <w:r>
        <w:rPr>
          <w:rFonts w:hAnsi="黑体"/>
        </w:rPr>
        <w:fldChar w:fldCharType="begin">
          <w:ffData>
            <w:name w:val="StdNo1"/>
            <w:enabled/>
            <w:calcOnExit w:val="0"/>
            <w:textInput>
              <w:default w:val="XXXX"/>
            </w:textInput>
          </w:ffData>
        </w:fldChar>
      </w:r>
      <w:bookmarkStart w:id="4" w:name="StdNo1"/>
      <w:r>
        <w:rPr>
          <w:rFonts w:hAnsi="黑体"/>
        </w:rPr>
        <w:instrText xml:space="preserve"> FORMTEXT </w:instrText>
      </w:r>
      <w:r>
        <w:rPr>
          <w:rFonts w:hAnsi="黑体"/>
        </w:rPr>
        <w:fldChar w:fldCharType="separate"/>
      </w:r>
      <w:r>
        <w:rPr>
          <w:rFonts w:hAnsi="黑体"/>
        </w:rPr>
        <w:t>XXXX</w:t>
      </w:r>
      <w:r>
        <w:rPr>
          <w:rFonts w:hAnsi="黑体"/>
        </w:rPr>
        <w:fldChar w:fldCharType="end"/>
      </w:r>
      <w:bookmarkEnd w:id="4"/>
      <w:r>
        <w:rPr>
          <w:rFonts w:hAnsi="黑体"/>
        </w:rPr>
        <w:t>—</w:t>
      </w:r>
      <w:bookmarkStart w:id="5"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5"/>
    </w:p>
    <w:tbl>
      <w:tblPr>
        <w:tblStyle w:val="35"/>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78"/>
            </w:pPr>
            <w:bookmarkStart w:id="6" w:name="DT"/>
            <w:r>
              <mc:AlternateContent>
                <mc:Choice Requires="wps">
                  <w:drawing>
                    <wp:anchor distT="0" distB="0" distL="114300" distR="114300" simplePos="0" relativeHeight="251644928" behindDoc="1" locked="0" layoutInCell="1" allowOverlap="1">
                      <wp:simplePos x="0" y="0"/>
                      <wp:positionH relativeFrom="column">
                        <wp:posOffset>4734560</wp:posOffset>
                      </wp:positionH>
                      <wp:positionV relativeFrom="paragraph">
                        <wp:posOffset>34290</wp:posOffset>
                      </wp:positionV>
                      <wp:extent cx="982980" cy="196215"/>
                      <wp:effectExtent l="0" t="0" r="7620" b="13335"/>
                      <wp:wrapNone/>
                      <wp:docPr id="71" name="DT"/>
                      <wp:cNvGraphicFramePr/>
                      <a:graphic xmlns:a="http://schemas.openxmlformats.org/drawingml/2006/main">
                        <a:graphicData uri="http://schemas.microsoft.com/office/word/2010/wordprocessingShape">
                          <wps:wsp>
                            <wps:cNvSpPr>
                              <a:spLocks noChangeArrowheads="true"/>
                            </wps:cNvSpPr>
                            <wps:spPr bwMode="auto">
                              <a:xfrm>
                                <a:off x="0" y="0"/>
                                <a:ext cx="982980" cy="196215"/>
                              </a:xfrm>
                              <a:prstGeom prst="rect">
                                <a:avLst/>
                              </a:prstGeom>
                              <a:solidFill>
                                <a:srgbClr val="FFFFFF"/>
                              </a:solidFill>
                              <a:ln>
                                <a:noFill/>
                              </a:ln>
                              <a:effectLst/>
                            </wps:spPr>
                            <wps:bodyPr rot="0" vert="horz" wrap="square" lIns="91440" tIns="45720" rIns="91440" bIns="45720" anchor="t" anchorCtr="false" upright="true">
                              <a:noAutofit/>
                            </wps:bodyPr>
                          </wps:wsp>
                        </a:graphicData>
                      </a:graphic>
                    </wp:anchor>
                  </w:drawing>
                </mc:Choice>
                <mc:Fallback>
                  <w:pict>
                    <v:rect id="DT" o:spid="_x0000_s1026" o:spt="1" style="position:absolute;left:0pt;margin-left:372.8pt;margin-top:2.7pt;height:15.45pt;width:77.4pt;z-index:-251671552;mso-width-relative:page;mso-height-relative:page;" fillcolor="#FFFFFF" filled="t" stroked="f" coordsize="21600,21600" o:gfxdata="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BYAAABkcnMvUEsBAhQAFAAAAAgAh07iQD1GGhXXAAAACAEAAA8AAAAAAAAAAQAg&#10;AAAAOAAAAGRycy9kb3ducmV2LnhtbFBLAQIUABQAAAAIAIdO4kA+g8qo+QEAAOoDAAAOAAAAAAAA&#10;AAEAIAAAADwBAABkcnMvZTJvRG9jLnhtbFBLBQYAAAAABgAGAFkBAACnBQAAAAA=&#10;">
                      <v:fill on="t" focussize="0,0"/>
                      <v:stroke on="f"/>
                      <v:imagedata o:title=""/>
                      <o:lock v:ext="edit" aspectratio="f"/>
                    </v:rect>
                  </w:pict>
                </mc:Fallback>
              </mc:AlternateContent>
            </w:r>
            <w:r>
              <w:fldChar w:fldCharType="begin">
                <w:ffData>
                  <w:name w:val="DT"/>
                  <w:enabled/>
                  <w:calcOnExit w:val="0"/>
                  <w:textInput/>
                </w:ffData>
              </w:fldChar>
            </w:r>
            <w:r>
              <w:instrText xml:space="preserve"> FORMTEXT </w:instrText>
            </w:r>
            <w:r>
              <w:fldChar w:fldCharType="separate"/>
            </w:r>
            <w:r>
              <w:t>     </w:t>
            </w:r>
            <w:r>
              <w:fldChar w:fldCharType="end"/>
            </w:r>
            <w:bookmarkEnd w:id="6"/>
          </w:p>
        </w:tc>
      </w:tr>
    </w:tbl>
    <w:p>
      <w:pPr>
        <w:pStyle w:val="49"/>
        <w:rPr>
          <w:rFonts w:hAnsi="黑体"/>
        </w:rPr>
      </w:pPr>
    </w:p>
    <w:p>
      <w:pPr>
        <w:pStyle w:val="49"/>
        <w:rPr>
          <w:rFonts w:hAnsi="黑体"/>
        </w:rPr>
      </w:pPr>
    </w:p>
    <w:p>
      <w:pPr>
        <w:pStyle w:val="80"/>
        <w:ind w:firstLine="1560" w:firstLineChars="300"/>
        <w:jc w:val="both"/>
      </w:pPr>
      <w:r>
        <w:rPr>
          <w:rFonts w:hint="eastAsia"/>
          <w:lang w:eastAsia="zh-CN"/>
        </w:rPr>
        <w:t>优质奶牛核心场选择</w:t>
      </w:r>
      <w:r>
        <w:rPr>
          <w:rFonts w:hint="eastAsia"/>
        </w:rPr>
        <w:t>技术规程</w:t>
      </w:r>
    </w:p>
    <w:p>
      <w:pPr>
        <w:pStyle w:val="82"/>
      </w:pPr>
    </w:p>
    <w:tbl>
      <w:tblPr>
        <w:tblStyle w:val="35"/>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3"/>
            </w:pPr>
            <w:r>
              <mc:AlternateContent>
                <mc:Choice Requires="wps">
                  <w:drawing>
                    <wp:anchor distT="0" distB="0" distL="114300" distR="114300" simplePos="0" relativeHeight="25164697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true"/>
                            </wps:cNvSpPr>
                            <wps:spPr bwMode="auto">
                              <a:xfrm>
                                <a:off x="0" y="0"/>
                                <a:ext cx="1562100" cy="208280"/>
                              </a:xfrm>
                              <a:prstGeom prst="rect">
                                <a:avLst/>
                              </a:prstGeom>
                              <a:solidFill>
                                <a:srgbClr val="FFFFFF"/>
                              </a:solidFill>
                              <a:ln>
                                <a:noFill/>
                              </a:ln>
                              <a:effectLst/>
                            </wps:spPr>
                            <wps:bodyPr rot="0" vert="horz" wrap="square" lIns="91440" tIns="45720" rIns="91440" bIns="45720" anchor="t" anchorCtr="false" upright="true">
                              <a:noAutofit/>
                            </wps:bodyPr>
                          </wps:wsp>
                        </a:graphicData>
                      </a:graphic>
                    </wp:anchor>
                  </w:drawing>
                </mc:Choice>
                <mc:Fallback>
                  <w:pict>
                    <v:rect id="RQ" o:spid="_x0000_s1026" o:spt="1" style="position:absolute;left:0pt;margin-left:173.3pt;margin-top:45.15pt;height:16.4pt;width:123pt;z-index:-251669504;mso-width-relative:page;mso-height-relative:page;" fillcolor="#FFFFFF" filled="t" stroked="f" coordsize="21600,21600" o:gfxdata="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K2u6Z9cAAAAKAQAADwAAAAAAAAAB&#10;ACAAAAA4AAAAZHJzL2Rvd25yZXYueG1sUEsBAhQAFAAAAAgAh07iQNbP1In7AQAA6wMAAA4AAAAA&#10;AAAAAQAgAAAAPAEAAGRycy9lMm9Eb2MueG1sUEsFBgAAAAAGAAYAWQEAAKkFAAAAAA==&#10;">
                      <v:fill on="t" focussize="0,0"/>
                      <v:stroke on="f"/>
                      <v:imagedata o:title=""/>
                      <o:lock v:ext="edit" aspectratio="f"/>
                      <w10:anchorlock/>
                    </v:rect>
                  </w:pict>
                </mc:Fallback>
              </mc:AlternateContent>
            </w:r>
            <w:r>
              <mc:AlternateContent>
                <mc:Choice Requires="wps">
                  <w:drawing>
                    <wp:anchor distT="0" distB="0" distL="114300" distR="114300" simplePos="0" relativeHeight="251645952" behindDoc="1" locked="0" layoutInCell="1" allowOverlap="1">
                      <wp:simplePos x="0" y="0"/>
                      <wp:positionH relativeFrom="column">
                        <wp:posOffset>2454910</wp:posOffset>
                      </wp:positionH>
                      <wp:positionV relativeFrom="paragraph">
                        <wp:posOffset>255905</wp:posOffset>
                      </wp:positionV>
                      <wp:extent cx="1041400" cy="249555"/>
                      <wp:effectExtent l="0" t="0" r="6350" b="17145"/>
                      <wp:wrapNone/>
                      <wp:docPr id="69" name="LB"/>
                      <wp:cNvGraphicFramePr/>
                      <a:graphic xmlns:a="http://schemas.openxmlformats.org/drawingml/2006/main">
                        <a:graphicData uri="http://schemas.microsoft.com/office/word/2010/wordprocessingShape">
                          <wps:wsp>
                            <wps:cNvSpPr>
                              <a:spLocks noChangeArrowheads="true"/>
                            </wps:cNvSpPr>
                            <wps:spPr bwMode="auto">
                              <a:xfrm>
                                <a:off x="0" y="0"/>
                                <a:ext cx="1041400" cy="249555"/>
                              </a:xfrm>
                              <a:prstGeom prst="rect">
                                <a:avLst/>
                              </a:prstGeom>
                              <a:solidFill>
                                <a:srgbClr val="FFFFFF"/>
                              </a:solidFill>
                              <a:ln>
                                <a:noFill/>
                              </a:ln>
                              <a:effectLst/>
                            </wps:spPr>
                            <wps:bodyPr rot="0" vert="horz" wrap="square" lIns="91440" tIns="45720" rIns="91440" bIns="45720" anchor="t" anchorCtr="false" upright="true">
                              <a:noAutofit/>
                            </wps:bodyPr>
                          </wps:wsp>
                        </a:graphicData>
                      </a:graphic>
                    </wp:anchor>
                  </w:drawing>
                </mc:Choice>
                <mc:Fallback>
                  <w:pict>
                    <v:rect id="LB" o:spid="_x0000_s1026" o:spt="1" style="position:absolute;left:0pt;margin-left:193.3pt;margin-top:20.15pt;height:19.65pt;width:82pt;z-index:-251670528;mso-width-relative:page;mso-height-relative:page;" fillcolor="#FFFFFF" filled="t" stroked="f" coordsize="21600,21600" o:gfxdata="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BYAAABkcnMvUEsBAhQAFAAAAAgAh07iQMioem3XAAAACQEAAA8AAAAAAAAAAQAg&#10;AAAAOAAAAGRycy9kb3ducmV2LnhtbFBLAQIUABQAAAAIAIdO4kA7TT38+QEAAOsDAAAOAAAAAAAA&#10;AAEAIAAAADwBAABkcnMvZTJvRG9jLnhtbFBLBQYAAAAABgAGAFkBAACnBQAAAAA=&#10;">
                      <v:fill on="t" focussize="0,0"/>
                      <v:stroke on="f"/>
                      <v:imagedata o:title=""/>
                      <o:lock v:ext="edit" aspectratio="f"/>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4"/>
            </w:pPr>
          </w:p>
        </w:tc>
      </w:tr>
    </w:tbl>
    <w:p>
      <w:pPr>
        <w:pStyle w:val="133"/>
        <w:framePr w:hAnchor="page" w:x="1396" w:y="14191"/>
      </w:pPr>
      <w:r>
        <w:rPr>
          <w:rFonts w:hint="eastAsia" w:ascii="黑体"/>
          <w:lang w:val="en-US" w:eastAsia="zh-CN"/>
        </w:rPr>
        <w:t>2022</w:t>
      </w:r>
      <w:r>
        <w:rPr>
          <w:rFonts w:ascii="黑体"/>
        </w:rPr>
        <w:t>-</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bookmarkStart w:id="7"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rPr>
          <w:rFonts w:hint="eastAsia"/>
        </w:rPr>
        <w:t>发布</w:t>
      </w:r>
    </w:p>
    <w:p>
      <w:pPr>
        <w:pStyle w:val="134"/>
        <w:framePr w:hAnchor="page" w:x="7066" w:y="14116"/>
      </w:pPr>
      <w:r>
        <w:rPr>
          <w:rFonts w:hint="eastAsia" w:ascii="黑体"/>
          <w:lang w:val="en-US" w:eastAsia="zh-CN"/>
        </w:rPr>
        <w:t>2022</w:t>
      </w:r>
      <w:r>
        <w:rPr>
          <w:rFonts w:ascii="黑体"/>
        </w:rPr>
        <w:t>-</w:t>
      </w:r>
      <w:bookmarkStart w:id="8"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ascii="黑体"/>
        </w:rPr>
        <w:t>-</w:t>
      </w:r>
      <w:bookmarkStart w:id="9"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9"/>
      <w:r>
        <w:rPr>
          <w:rFonts w:hint="eastAsia"/>
        </w:rPr>
        <w:t>实施</w:t>
      </w:r>
    </w:p>
    <w:p>
      <w:pPr>
        <w:pStyle w:val="113"/>
      </w:pPr>
      <w:bookmarkStart w:id="10" w:name="fm"/>
      <w:r>
        <w:rPr>
          <w:rFonts w:hint="eastAsia"/>
        </w:rPr>
        <w:t>河北省市场监督</w:t>
      </w:r>
      <w:r>
        <w:t>管理局</w:t>
      </w:r>
      <w:bookmarkEnd w:id="10"/>
      <w:r>
        <w:rPr>
          <w:rFonts w:hAnsi="黑体"/>
        </w:rPr>
        <w:t>   </w:t>
      </w:r>
      <w:r>
        <w:rPr>
          <w:rStyle w:val="75"/>
          <w:rFonts w:hint="eastAsia"/>
        </w:rPr>
        <w:t>发布</w:t>
      </w:r>
    </w:p>
    <w:p>
      <w:pPr>
        <w:pStyle w:val="25"/>
        <w:sectPr>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9046845</wp:posOffset>
                </wp:positionV>
                <wp:extent cx="6062980" cy="0"/>
                <wp:effectExtent l="0" t="0" r="0" b="0"/>
                <wp:wrapNone/>
                <wp:docPr id="42" name="Line 11"/>
                <wp:cNvGraphicFramePr/>
                <a:graphic xmlns:a="http://schemas.openxmlformats.org/drawingml/2006/main">
                  <a:graphicData uri="http://schemas.microsoft.com/office/word/2010/wordprocessingShape">
                    <wps:wsp>
                      <wps:cNvCnPr>
                        <a:cxnSpLocks noChangeShapeType="true"/>
                      </wps:cNvCnPr>
                      <wps:spPr bwMode="auto">
                        <a:xfrm>
                          <a:off x="0" y="0"/>
                          <a:ext cx="6062980" cy="0"/>
                        </a:xfrm>
                        <a:prstGeom prst="line">
                          <a:avLst/>
                        </a:prstGeom>
                        <a:noFill/>
                        <a:ln w="9525">
                          <a:solidFill>
                            <a:srgbClr val="000000"/>
                          </a:solidFill>
                          <a:round/>
                        </a:ln>
                        <a:effectLst/>
                      </wps:spPr>
                      <wps:bodyPr/>
                    </wps:wsp>
                  </a:graphicData>
                </a:graphic>
              </wp:anchor>
            </w:drawing>
          </mc:Choice>
          <mc:Fallback>
            <w:pict>
              <v:line id="Line 11" o:spid="_x0000_s1026" o:spt="20" style="position:absolute;left:0pt;margin-left:-0.1pt;margin-top:712.35pt;height:0pt;width:477.4pt;z-index:251659264;mso-width-relative:page;mso-height-relative:page;" filled="f" stroked="t" coordsize="21600,21600" o:gfxdata="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d6k6DNYAAAALAQAADwAAAAAAAAABACAAAAA4AAAAZHJz&#10;L2Rvd25yZXYueG1sUEsBAhQAFAAAAAgAh07iQHlQ2GW3AQAAZAMAAA4AAAAAAAAAAQAgAAAAOwEA&#10;AGRycy9lMm9Eb2MueG1sUEsFBgAAAAAGAAYAWQEAAGQ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42880" behindDoc="0" locked="0" layoutInCell="1" allowOverlap="1">
                <wp:simplePos x="0" y="0"/>
                <wp:positionH relativeFrom="column">
                  <wp:posOffset>-635</wp:posOffset>
                </wp:positionH>
                <wp:positionV relativeFrom="paragraph">
                  <wp:posOffset>2339975</wp:posOffset>
                </wp:positionV>
                <wp:extent cx="6062980" cy="0"/>
                <wp:effectExtent l="0" t="0" r="0" b="0"/>
                <wp:wrapNone/>
                <wp:docPr id="67" name="Line 11"/>
                <wp:cNvGraphicFramePr/>
                <a:graphic xmlns:a="http://schemas.openxmlformats.org/drawingml/2006/main">
                  <a:graphicData uri="http://schemas.microsoft.com/office/word/2010/wordprocessingShape">
                    <wps:wsp>
                      <wps:cNvCnPr>
                        <a:cxnSpLocks noChangeShapeType="true"/>
                      </wps:cNvCnPr>
                      <wps:spPr bwMode="auto">
                        <a:xfrm>
                          <a:off x="0" y="0"/>
                          <a:ext cx="6062980" cy="0"/>
                        </a:xfrm>
                        <a:prstGeom prst="line">
                          <a:avLst/>
                        </a:prstGeom>
                        <a:noFill/>
                        <a:ln w="9525">
                          <a:solidFill>
                            <a:srgbClr val="000000"/>
                          </a:solidFill>
                          <a:round/>
                        </a:ln>
                        <a:effectLst/>
                      </wps:spPr>
                      <wps:bodyPr/>
                    </wps:wsp>
                  </a:graphicData>
                </a:graphic>
              </wp:anchor>
            </w:drawing>
          </mc:Choice>
          <mc:Fallback>
            <w:pict>
              <v:line id="Line 11" o:spid="_x0000_s1026" o:spt="20" style="position:absolute;left:0pt;margin-left:-0.05pt;margin-top:184.25pt;height:0pt;width:477.4pt;z-index:251642880;mso-width-relative:page;mso-height-relative:page;" filled="f" stroked="t" coordsize="21600,21600" o:gfxdata="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&#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BYAAABkcnMvUEsBAhQAFAAAAAgAh07iQOdtJenXAAAACQEAAA8AAAAAAAAAAQAgAAAAOAAAAGRy&#10;cy9kb3ducmV2LnhtbFBLAQIUABQAAAAIAIdO4kAW0qlltwEAAGQDAAAOAAAAAAAAAAEAIAAAADwB&#10;AABkcnMvZTJvRG9jLnhtbFBLBQYAAAAABgAGAFkBAABlBQAAAAA=&#10;">
                <v:fill on="f" focussize="0,0"/>
                <v:stroke color="#000000" joinstyle="round"/>
                <v:imagedata o:title=""/>
                <o:lock v:ext="edit" aspectratio="f"/>
              </v:line>
            </w:pict>
          </mc:Fallback>
        </mc:AlternateContent>
      </w:r>
    </w:p>
    <w:p>
      <w:pPr>
        <w:pStyle w:val="114"/>
      </w:pPr>
      <w:bookmarkStart w:id="11" w:name="_Toc475694823"/>
      <w:bookmarkStart w:id="12" w:name="_Toc48305688"/>
      <w:r>
        <w:rPr>
          <w:rFonts w:hint="eastAsia"/>
        </w:rPr>
        <w:t>前</w:t>
      </w:r>
      <w:bookmarkStart w:id="13" w:name="BKQY"/>
      <w:r>
        <w:rPr>
          <w:rFonts w:hAnsi="黑体"/>
        </w:rPr>
        <w:t>  </w:t>
      </w:r>
      <w:r>
        <w:rPr>
          <w:rFonts w:hint="eastAsia"/>
        </w:rPr>
        <w:t>言</w:t>
      </w:r>
      <w:bookmarkEnd w:id="11"/>
      <w:bookmarkEnd w:id="12"/>
      <w:bookmarkEnd w:id="13"/>
    </w:p>
    <w:p>
      <w:pPr>
        <w:ind w:firstLine="420" w:firstLineChars="200"/>
        <w:rPr>
          <w:rFonts w:ascii="宋体" w:hAnsi="宋体"/>
          <w:szCs w:val="28"/>
        </w:rPr>
      </w:pPr>
      <w:r>
        <w:rPr>
          <w:rFonts w:hint="eastAsia" w:ascii="宋体" w:hAnsi="宋体"/>
          <w:szCs w:val="28"/>
        </w:rPr>
        <w:t>本文件按照GB/T 1.1—20</w:t>
      </w:r>
      <w:r>
        <w:rPr>
          <w:rFonts w:ascii="宋体" w:hAnsi="宋体"/>
          <w:szCs w:val="28"/>
        </w:rPr>
        <w:t>20</w:t>
      </w:r>
      <w:r>
        <w:rPr>
          <w:rFonts w:hint="eastAsia" w:ascii="宋体" w:hAnsi="宋体"/>
          <w:szCs w:val="28"/>
        </w:rPr>
        <w:t>《标准化工作导则  第1部分：标准化文件的结构和起草规则》的规定起草。</w:t>
      </w:r>
    </w:p>
    <w:p>
      <w:pPr>
        <w:ind w:firstLine="420" w:firstLineChars="200"/>
        <w:rPr>
          <w:rFonts w:ascii="宋体" w:hAnsi="宋体"/>
          <w:szCs w:val="28"/>
        </w:rPr>
      </w:pPr>
      <w:r>
        <w:rPr>
          <w:rFonts w:hint="eastAsia" w:ascii="宋体" w:hAnsi="宋体"/>
          <w:szCs w:val="28"/>
        </w:rPr>
        <w:t>本</w:t>
      </w:r>
      <w:r>
        <w:rPr>
          <w:rFonts w:hint="eastAsia"/>
        </w:rPr>
        <w:t>文件</w:t>
      </w:r>
      <w:r>
        <w:rPr>
          <w:rFonts w:hint="eastAsia" w:ascii="宋体" w:hAnsi="宋体"/>
          <w:szCs w:val="28"/>
        </w:rPr>
        <w:t>由河北省农业农村厅提出。</w:t>
      </w:r>
    </w:p>
    <w:p>
      <w:pPr>
        <w:ind w:firstLine="420" w:firstLineChars="200"/>
        <w:rPr>
          <w:rFonts w:ascii="宋体" w:hAnsi="宋体"/>
          <w:szCs w:val="28"/>
        </w:rPr>
      </w:pPr>
      <w:r>
        <w:rPr>
          <w:rFonts w:hint="eastAsia" w:ascii="宋体" w:hAnsi="宋体"/>
          <w:szCs w:val="28"/>
        </w:rPr>
        <w:t>本</w:t>
      </w:r>
      <w:r>
        <w:rPr>
          <w:rFonts w:hint="eastAsia"/>
        </w:rPr>
        <w:t>文件</w:t>
      </w:r>
      <w:r>
        <w:rPr>
          <w:rFonts w:ascii="宋体" w:hAnsi="宋体"/>
          <w:szCs w:val="28"/>
        </w:rPr>
        <w:t>起草单位：</w:t>
      </w:r>
      <w:r>
        <w:rPr>
          <w:rFonts w:hint="eastAsia" w:ascii="宋体" w:hAnsi="宋体"/>
          <w:szCs w:val="28"/>
        </w:rPr>
        <w:t>河北省畜牧良种工作总站、石家庄天泉良种奶牛有限公司。</w:t>
      </w:r>
    </w:p>
    <w:p>
      <w:pPr>
        <w:ind w:firstLine="420" w:firstLineChars="200"/>
        <w:rPr>
          <w:rFonts w:hint="default" w:eastAsia="宋体"/>
          <w:lang w:val="en-US" w:eastAsia="zh-CN"/>
        </w:rPr>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r>
        <w:rPr>
          <w:rFonts w:hint="eastAsia" w:ascii="宋体" w:hAnsi="宋体"/>
          <w:szCs w:val="28"/>
        </w:rPr>
        <w:t>本</w:t>
      </w:r>
      <w:r>
        <w:rPr>
          <w:rFonts w:hint="eastAsia"/>
        </w:rPr>
        <w:t>文件</w:t>
      </w:r>
      <w:r>
        <w:rPr>
          <w:rFonts w:hint="eastAsia" w:ascii="宋体" w:hAnsi="宋体"/>
          <w:szCs w:val="28"/>
        </w:rPr>
        <w:t>主要起草人</w:t>
      </w:r>
      <w:r>
        <w:rPr>
          <w:rFonts w:hint="eastAsia" w:ascii="宋体" w:hAnsi="宋体"/>
          <w:szCs w:val="28"/>
          <w:lang w:eastAsia="zh-CN"/>
        </w:rPr>
        <w:t>：倪俊卿、</w:t>
      </w:r>
      <w:r>
        <w:rPr>
          <w:rFonts w:hint="eastAsia" w:ascii="宋体" w:hAnsi="宋体"/>
          <w:szCs w:val="28"/>
          <w:lang w:val="en-US" w:eastAsia="zh-CN"/>
        </w:rPr>
        <w:t xml:space="preserve">马亚宾、蒋桂娥、刘廷玉、杨晨东、赵利梅、郭伟婷、李建明、周军坡、杨玉英、李春芳、刘晓豪、李欣、余文莉。 </w:t>
      </w:r>
    </w:p>
    <w:p>
      <w:pPr>
        <w:pStyle w:val="52"/>
      </w:pPr>
      <w:r>
        <w:rPr>
          <w:rFonts w:hint="eastAsia"/>
          <w:lang w:eastAsia="zh-CN"/>
        </w:rPr>
        <w:t>优质奶牛核心场选择</w:t>
      </w:r>
      <w:r>
        <w:rPr>
          <w:rFonts w:hint="eastAsia"/>
        </w:rPr>
        <w:t>技术规程</w:t>
      </w:r>
    </w:p>
    <w:p>
      <w:pPr>
        <w:pStyle w:val="47"/>
        <w:numPr>
          <w:ilvl w:val="0"/>
          <w:numId w:val="19"/>
        </w:numPr>
        <w:spacing w:before="312" w:after="312"/>
      </w:pPr>
      <w:bookmarkStart w:id="14" w:name="_Toc48305690"/>
      <w:bookmarkStart w:id="15" w:name="_Toc475694825"/>
      <w:r>
        <w:rPr>
          <w:rFonts w:hint="eastAsia"/>
        </w:rPr>
        <w:t>范围</w:t>
      </w:r>
      <w:bookmarkEnd w:id="14"/>
      <w:bookmarkEnd w:id="15"/>
    </w:p>
    <w:p>
      <w:pPr>
        <w:topLinePunct/>
        <w:ind w:firstLine="420" w:firstLineChars="200"/>
        <w:rPr>
          <w:rFonts w:hint="eastAsia" w:ascii="宋体" w:hAnsi="宋体" w:eastAsia="宋体" w:cs="宋体"/>
          <w:color w:val="000000"/>
          <w:szCs w:val="21"/>
          <w:highlight w:val="none"/>
          <w:lang w:eastAsia="zh-CN"/>
        </w:rPr>
      </w:pPr>
      <w:r>
        <w:rPr>
          <w:rFonts w:hint="eastAsia"/>
        </w:rPr>
        <w:t>本文件规定了</w:t>
      </w:r>
      <w:r>
        <w:rPr>
          <w:rFonts w:hint="eastAsia"/>
          <w:lang w:eastAsia="zh-CN"/>
        </w:rPr>
        <w:t>优质奶牛</w:t>
      </w:r>
      <w:r>
        <w:rPr>
          <w:rFonts w:hint="eastAsia" w:ascii="宋体" w:hAnsi="宋体" w:cs="宋体"/>
          <w:color w:val="000000"/>
          <w:szCs w:val="21"/>
          <w:highlight w:val="none"/>
          <w:lang w:eastAsia="zh-CN"/>
        </w:rPr>
        <w:t>核心场选择的总体要求、基本条件、牛场布局、种群要求、饲养管理、育种要求、废弃物和病死畜无害化处理。</w:t>
      </w:r>
    </w:p>
    <w:p>
      <w:pPr>
        <w:topLinePunct/>
        <w:ind w:firstLine="420" w:firstLineChars="200"/>
        <w:rPr>
          <w:rFonts w:ascii="宋体" w:hAnsi="宋体" w:cs="宋体"/>
          <w:color w:val="000000"/>
          <w:szCs w:val="21"/>
        </w:rPr>
      </w:pPr>
      <w:r>
        <w:rPr>
          <w:rFonts w:hint="eastAsia" w:ascii="宋体" w:hAnsi="宋体" w:cs="宋体"/>
          <w:color w:val="000000"/>
          <w:szCs w:val="21"/>
        </w:rPr>
        <w:t>本文件适用于规模化</w:t>
      </w:r>
      <w:r>
        <w:rPr>
          <w:rFonts w:hint="eastAsia" w:ascii="宋体" w:hAnsi="宋体" w:cs="宋体"/>
          <w:color w:val="000000"/>
          <w:szCs w:val="21"/>
          <w:lang w:eastAsia="zh-CN"/>
        </w:rPr>
        <w:t>优质奶牛</w:t>
      </w:r>
      <w:r>
        <w:rPr>
          <w:rFonts w:hint="eastAsia" w:ascii="宋体" w:hAnsi="宋体" w:cs="宋体"/>
          <w:color w:val="000000"/>
          <w:szCs w:val="21"/>
        </w:rPr>
        <w:t>核心</w:t>
      </w:r>
      <w:r>
        <w:rPr>
          <w:rFonts w:hint="eastAsia" w:ascii="宋体" w:hAnsi="宋体" w:cs="宋体"/>
          <w:color w:val="000000"/>
          <w:szCs w:val="21"/>
          <w:lang w:eastAsia="zh-CN"/>
        </w:rPr>
        <w:t>场的选择</w:t>
      </w:r>
      <w:r>
        <w:rPr>
          <w:rFonts w:hint="eastAsia" w:ascii="宋体" w:hAnsi="宋体" w:cs="宋体"/>
          <w:color w:val="000000"/>
          <w:szCs w:val="21"/>
        </w:rPr>
        <w:t>，品种</w:t>
      </w:r>
      <w:r>
        <w:rPr>
          <w:rFonts w:hint="eastAsia" w:ascii="宋体" w:hAnsi="宋体" w:cs="宋体"/>
          <w:color w:val="000000"/>
          <w:szCs w:val="21"/>
          <w:lang w:eastAsia="zh-CN"/>
        </w:rPr>
        <w:t>主要以荷斯坦牛为主，其它</w:t>
      </w:r>
      <w:r>
        <w:rPr>
          <w:rFonts w:hint="eastAsia" w:ascii="宋体" w:hAnsi="宋体" w:cs="宋体"/>
          <w:color w:val="000000"/>
          <w:szCs w:val="21"/>
        </w:rPr>
        <w:t>乳用</w:t>
      </w:r>
      <w:r>
        <w:rPr>
          <w:rFonts w:hint="eastAsia" w:ascii="宋体" w:hAnsi="宋体" w:cs="宋体"/>
          <w:color w:val="000000"/>
          <w:szCs w:val="21"/>
          <w:lang w:eastAsia="zh-CN"/>
        </w:rPr>
        <w:t>品种奶牛</w:t>
      </w:r>
      <w:r>
        <w:rPr>
          <w:rFonts w:hint="eastAsia" w:ascii="宋体" w:hAnsi="宋体" w:cs="宋体"/>
          <w:color w:val="000000"/>
          <w:szCs w:val="21"/>
        </w:rPr>
        <w:t>核心</w:t>
      </w:r>
      <w:r>
        <w:rPr>
          <w:rFonts w:hint="eastAsia" w:ascii="宋体" w:hAnsi="宋体" w:cs="宋体"/>
          <w:color w:val="000000"/>
          <w:szCs w:val="21"/>
          <w:lang w:eastAsia="zh-CN"/>
        </w:rPr>
        <w:t>场的选择</w:t>
      </w:r>
      <w:r>
        <w:rPr>
          <w:rFonts w:hint="eastAsia" w:ascii="宋体" w:hAnsi="宋体" w:cs="宋体"/>
          <w:color w:val="000000"/>
          <w:szCs w:val="21"/>
        </w:rPr>
        <w:t>可以参照</w:t>
      </w:r>
      <w:r>
        <w:rPr>
          <w:rFonts w:hint="eastAsia" w:ascii="宋体" w:hAnsi="宋体" w:cs="宋体"/>
          <w:color w:val="000000"/>
          <w:szCs w:val="21"/>
          <w:highlight w:val="none"/>
          <w:lang w:eastAsia="zh-CN"/>
        </w:rPr>
        <w:t>执行</w:t>
      </w:r>
      <w:r>
        <w:rPr>
          <w:rFonts w:hint="eastAsia" w:ascii="宋体" w:hAnsi="宋体" w:cs="宋体"/>
          <w:color w:val="000000"/>
          <w:szCs w:val="21"/>
        </w:rPr>
        <w:t xml:space="preserve">。 </w:t>
      </w:r>
    </w:p>
    <w:p>
      <w:pPr>
        <w:pStyle w:val="47"/>
        <w:spacing w:before="312" w:after="312"/>
      </w:pPr>
      <w:bookmarkStart w:id="16" w:name="_Toc475694826"/>
      <w:bookmarkStart w:id="17" w:name="_Toc48305691"/>
      <w:r>
        <w:rPr>
          <w:rFonts w:hint="eastAsia"/>
        </w:rPr>
        <w:t>规范性引用文件</w:t>
      </w:r>
      <w:bookmarkEnd w:id="16"/>
      <w:bookmarkEnd w:id="17"/>
    </w:p>
    <w:p>
      <w:pPr>
        <w:pStyle w:val="25"/>
        <w:keepNext w:val="0"/>
        <w:keepLines w:val="0"/>
        <w:pageBreakBefore w:val="0"/>
        <w:widowControl/>
        <w:kinsoku/>
        <w:wordWrap/>
        <w:overflowPunct/>
        <w:topLinePunct w:val="0"/>
        <w:autoSpaceDE w:val="0"/>
        <w:autoSpaceDN w:val="0"/>
        <w:bidi w:val="0"/>
        <w:adjustRightInd/>
        <w:snapToGrid/>
        <w:textAlignment w:val="auto"/>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360" w:lineRule="auto"/>
        <w:ind w:firstLine="420" w:firstLineChars="200"/>
        <w:rPr>
          <w:rFonts w:hint="eastAsia" w:ascii="方正书宋_GBK" w:hAnsi="方正书宋_GBK" w:eastAsia="方正书宋_GBK" w:cs="方正书宋_GBK"/>
          <w:color w:val="auto"/>
        </w:rPr>
      </w:pPr>
      <w:r>
        <w:rPr>
          <w:rFonts w:hint="eastAsia" w:ascii="方正书宋_GBK" w:hAnsi="方正书宋_GBK" w:eastAsia="方正书宋_GBK" w:cs="方正书宋_GBK"/>
          <w:color w:val="auto"/>
        </w:rPr>
        <w:t>GB 16548 病害动物和病害动物产品生物安全处理规程</w:t>
      </w:r>
    </w:p>
    <w:p>
      <w:pPr>
        <w:spacing w:line="360" w:lineRule="auto"/>
        <w:ind w:firstLine="420" w:firstLineChars="200"/>
        <w:rPr>
          <w:rFonts w:hint="eastAsia" w:ascii="方正书宋_GBK" w:hAnsi="方正书宋_GBK" w:eastAsia="方正书宋_GBK" w:cs="方正书宋_GBK"/>
          <w:lang w:val="en-US" w:eastAsia="zh-CN"/>
        </w:rPr>
      </w:pPr>
      <w:r>
        <w:rPr>
          <w:rFonts w:hint="eastAsia" w:ascii="方正书宋_GBK" w:hAnsi="方正书宋_GBK" w:eastAsia="方正书宋_GBK" w:cs="方正书宋_GBK"/>
          <w:lang w:val="en-US" w:eastAsia="zh-CN"/>
        </w:rPr>
        <w:t>GB 18596  畜禽养殖业污染物排放标准</w:t>
      </w:r>
    </w:p>
    <w:p>
      <w:pPr>
        <w:spacing w:line="360" w:lineRule="auto"/>
        <w:ind w:firstLine="420"/>
        <w:rPr>
          <w:rFonts w:hint="eastAsia" w:ascii="方正书宋_GBK" w:hAnsi="方正书宋_GBK" w:eastAsia="方正书宋_GBK" w:cs="方正书宋_GBK"/>
        </w:rPr>
      </w:pPr>
      <w:r>
        <w:rPr>
          <w:rFonts w:hint="eastAsia" w:ascii="方正书宋_GBK" w:hAnsi="方正书宋_GBK" w:eastAsia="方正书宋_GBK" w:cs="方正书宋_GBK"/>
        </w:rPr>
        <w:t>GB</w:t>
      </w:r>
      <w:r>
        <w:rPr>
          <w:rFonts w:hint="eastAsia" w:ascii="方正书宋_GBK" w:hAnsi="方正书宋_GBK" w:eastAsia="方正书宋_GBK" w:cs="方正书宋_GBK"/>
          <w:lang w:val="en-US" w:eastAsia="zh-CN"/>
        </w:rPr>
        <w:t>/</w:t>
      </w:r>
      <w:r>
        <w:rPr>
          <w:rFonts w:hint="eastAsia" w:ascii="方正书宋_GBK" w:hAnsi="方正书宋_GBK" w:eastAsia="方正书宋_GBK" w:cs="方正书宋_GBK"/>
        </w:rPr>
        <w:t>T 35568 中国荷斯坦牛体型鉴定技术规程</w:t>
      </w:r>
    </w:p>
    <w:p>
      <w:pPr>
        <w:spacing w:line="360" w:lineRule="auto"/>
        <w:ind w:firstLine="420" w:firstLineChars="200"/>
        <w:rPr>
          <w:rFonts w:hint="eastAsia" w:ascii="方正书宋_GBK" w:hAnsi="方正书宋_GBK" w:eastAsia="方正书宋_GBK" w:cs="方正书宋_GBK"/>
          <w:lang w:val="en-US" w:eastAsia="zh-CN"/>
        </w:rPr>
      </w:pPr>
      <w:r>
        <w:rPr>
          <w:rFonts w:hint="eastAsia" w:ascii="方正书宋_GBK" w:hAnsi="方正书宋_GBK" w:eastAsia="方正书宋_GBK" w:cs="方正书宋_GBK"/>
        </w:rPr>
        <w:t xml:space="preserve">NY/T </w:t>
      </w:r>
      <w:r>
        <w:rPr>
          <w:rFonts w:hint="eastAsia" w:ascii="方正书宋_GBK" w:hAnsi="方正书宋_GBK" w:eastAsia="方正书宋_GBK" w:cs="方正书宋_GBK"/>
          <w:lang w:val="en-US" w:eastAsia="zh-CN"/>
        </w:rPr>
        <w:t>2662</w:t>
      </w:r>
      <w:r>
        <w:rPr>
          <w:rFonts w:hint="eastAsia" w:ascii="方正书宋_GBK" w:hAnsi="方正书宋_GBK" w:eastAsia="方正书宋_GBK" w:cs="方正书宋_GBK"/>
        </w:rPr>
        <w:t xml:space="preserve">  </w:t>
      </w:r>
      <w:r>
        <w:rPr>
          <w:rFonts w:hint="eastAsia" w:ascii="方正书宋_GBK" w:hAnsi="方正书宋_GBK" w:eastAsia="方正书宋_GBK" w:cs="方正书宋_GBK"/>
          <w:lang w:eastAsia="zh-CN"/>
        </w:rPr>
        <w:t>标准化养殖场</w:t>
      </w:r>
      <w:r>
        <w:rPr>
          <w:rFonts w:hint="eastAsia" w:ascii="方正书宋_GBK" w:hAnsi="方正书宋_GBK" w:eastAsia="方正书宋_GBK" w:cs="方正书宋_GBK"/>
          <w:lang w:val="en-US" w:eastAsia="zh-CN"/>
        </w:rPr>
        <w:t xml:space="preserve">  奶牛</w:t>
      </w:r>
    </w:p>
    <w:p>
      <w:pPr>
        <w:spacing w:line="360" w:lineRule="auto"/>
        <w:ind w:firstLine="420" w:firstLineChars="200"/>
        <w:rPr>
          <w:rFonts w:hint="eastAsia" w:ascii="方正书宋_GBK" w:hAnsi="方正书宋_GBK" w:eastAsia="方正书宋_GBK" w:cs="方正书宋_GBK"/>
          <w:lang w:val="en-US" w:eastAsia="zh-CN"/>
        </w:rPr>
      </w:pPr>
      <w:r>
        <w:rPr>
          <w:rFonts w:hint="eastAsia" w:ascii="方正书宋_GBK" w:hAnsi="方正书宋_GBK" w:eastAsia="方正书宋_GBK" w:cs="方正书宋_GBK"/>
          <w:lang w:val="en-US" w:eastAsia="zh-CN"/>
        </w:rPr>
        <w:t>DB13/T 982  干奶期奶牛饲养管理技术规程</w:t>
      </w:r>
    </w:p>
    <w:p>
      <w:pPr>
        <w:spacing w:line="360" w:lineRule="auto"/>
        <w:ind w:firstLine="420" w:firstLineChars="200"/>
        <w:rPr>
          <w:rFonts w:hint="eastAsia" w:ascii="方正书宋_GBK" w:hAnsi="方正书宋_GBK" w:eastAsia="方正书宋_GBK" w:cs="方正书宋_GBK"/>
          <w:lang w:val="en-US" w:eastAsia="zh-CN"/>
        </w:rPr>
      </w:pPr>
      <w:r>
        <w:rPr>
          <w:rFonts w:hint="eastAsia" w:ascii="方正书宋_GBK" w:hAnsi="方正书宋_GBK" w:eastAsia="方正书宋_GBK" w:cs="方正书宋_GBK"/>
          <w:lang w:val="en-US" w:eastAsia="zh-CN"/>
        </w:rPr>
        <w:t>DB13/T 984  奶牛全混合日粮（TMR）配制操作规程</w:t>
      </w:r>
    </w:p>
    <w:p>
      <w:pPr>
        <w:spacing w:line="360" w:lineRule="auto"/>
        <w:ind w:firstLine="420" w:firstLineChars="200"/>
        <w:rPr>
          <w:rFonts w:hint="eastAsia" w:ascii="方正书宋_GBK" w:hAnsi="方正书宋_GBK" w:eastAsia="方正书宋_GBK" w:cs="方正书宋_GBK"/>
          <w:lang w:val="en-US" w:eastAsia="zh-CN"/>
        </w:rPr>
      </w:pPr>
      <w:r>
        <w:rPr>
          <w:rFonts w:hint="eastAsia" w:ascii="方正书宋_GBK" w:hAnsi="方正书宋_GBK" w:eastAsia="方正书宋_GBK" w:cs="方正书宋_GBK"/>
          <w:lang w:val="en-US" w:eastAsia="zh-CN"/>
        </w:rPr>
        <w:t>DB13/T 1076  乳用母犊牛 育成牛饲养管理规程</w:t>
      </w:r>
    </w:p>
    <w:p>
      <w:pPr>
        <w:spacing w:line="360" w:lineRule="auto"/>
        <w:ind w:firstLine="420" w:firstLineChars="200"/>
        <w:rPr>
          <w:rFonts w:hint="eastAsia" w:ascii="方正书宋_GBK" w:hAnsi="方正书宋_GBK" w:eastAsia="方正书宋_GBK" w:cs="方正书宋_GBK"/>
          <w:lang w:val="en-US" w:eastAsia="zh-CN"/>
        </w:rPr>
      </w:pPr>
      <w:r>
        <w:rPr>
          <w:rFonts w:hint="eastAsia" w:ascii="方正书宋_GBK" w:hAnsi="方正书宋_GBK" w:eastAsia="方正书宋_GBK" w:cs="方正书宋_GBK"/>
          <w:lang w:val="en-US" w:eastAsia="zh-CN"/>
        </w:rPr>
        <w:t>DB13/T 2874  奶牛围产期饲养管理技术规程</w:t>
      </w:r>
    </w:p>
    <w:p>
      <w:pPr>
        <w:spacing w:line="360" w:lineRule="auto"/>
        <w:ind w:firstLine="420" w:firstLineChars="200"/>
        <w:rPr>
          <w:rFonts w:hint="eastAsia" w:ascii="方正书宋_GBK" w:hAnsi="方正书宋_GBK" w:eastAsia="方正书宋_GBK" w:cs="方正书宋_GBK"/>
          <w:lang w:val="en-US" w:eastAsia="zh-CN"/>
        </w:rPr>
      </w:pPr>
      <w:r>
        <w:rPr>
          <w:rFonts w:hint="eastAsia" w:ascii="方正书宋_GBK" w:hAnsi="方正书宋_GBK" w:eastAsia="方正书宋_GBK" w:cs="方正书宋_GBK"/>
          <w:szCs w:val="21"/>
          <w:highlight w:val="none"/>
          <w:lang w:val="en-US" w:eastAsia="zh-CN"/>
        </w:rPr>
        <w:t>DB13/T 5479  荷斯坦牛核心群选育技术规程</w:t>
      </w:r>
    </w:p>
    <w:p>
      <w:pPr>
        <w:spacing w:line="360" w:lineRule="auto"/>
        <w:ind w:firstLine="420" w:firstLineChars="200"/>
        <w:rPr>
          <w:rFonts w:hint="eastAsia" w:ascii="方正书宋_GBK" w:hAnsi="方正书宋_GBK" w:eastAsia="方正书宋_GBK" w:cs="方正书宋_GBK"/>
          <w:szCs w:val="21"/>
          <w:lang w:val="en-US" w:eastAsia="zh-CN"/>
        </w:rPr>
      </w:pPr>
      <w:r>
        <w:rPr>
          <w:rFonts w:hint="eastAsia" w:ascii="方正书宋_GBK" w:hAnsi="方正书宋_GBK" w:eastAsia="方正书宋_GBK" w:cs="方正书宋_GBK"/>
          <w:szCs w:val="21"/>
          <w:lang w:val="en-US" w:eastAsia="zh-CN"/>
        </w:rPr>
        <w:t>中华人民共和国农业部第1137号《乳用动物健康标准》</w:t>
      </w:r>
    </w:p>
    <w:p>
      <w:pPr>
        <w:spacing w:line="360" w:lineRule="auto"/>
        <w:ind w:firstLine="420" w:firstLineChars="20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农业部关于印发《病死及病害动物无害化处理技术规范》</w:t>
      </w:r>
    </w:p>
    <w:p>
      <w:pPr>
        <w:pStyle w:val="47"/>
        <w:numPr>
          <w:ilvl w:val="0"/>
          <w:numId w:val="0"/>
        </w:numPr>
        <w:spacing w:before="312" w:after="312"/>
        <w:ind w:leftChars="0"/>
        <w:rPr>
          <w:b/>
          <w:bCs/>
          <w:color w:val="0000FF"/>
        </w:rPr>
      </w:pPr>
      <w:bookmarkStart w:id="18" w:name="_Toc48305692"/>
      <w:bookmarkStart w:id="19" w:name="_Toc475694827"/>
      <w:r>
        <w:rPr>
          <w:rFonts w:hint="eastAsia"/>
          <w:color w:val="auto"/>
          <w:lang w:val="en-US" w:eastAsia="zh-CN"/>
        </w:rPr>
        <w:t xml:space="preserve">3  </w:t>
      </w:r>
      <w:r>
        <w:rPr>
          <w:rFonts w:hint="eastAsia"/>
          <w:color w:val="auto"/>
        </w:rPr>
        <w:t>术语和定义</w:t>
      </w:r>
      <w:bookmarkEnd w:id="18"/>
      <w:bookmarkEnd w:id="19"/>
      <w:r>
        <w:rPr>
          <w:rFonts w:hint="eastAsia"/>
          <w:color w:val="auto"/>
          <w:lang w:val="en-US" w:eastAsia="zh-CN"/>
        </w:rPr>
        <w:t xml:space="preserve">   </w:t>
      </w:r>
      <w:r>
        <w:rPr>
          <w:rFonts w:hint="eastAsia"/>
          <w:b/>
          <w:bCs/>
          <w:color w:val="0000FF"/>
          <w:lang w:val="en-US" w:eastAsia="zh-CN"/>
        </w:rPr>
        <w:t xml:space="preserve">  </w:t>
      </w:r>
    </w:p>
    <w:p>
      <w:pPr>
        <w:pStyle w:val="25"/>
      </w:pPr>
      <w:r>
        <w:rPr>
          <w:rFonts w:hint="eastAsia"/>
        </w:rPr>
        <w:t>下列术语和定义适用于本文件。</w:t>
      </w:r>
    </w:p>
    <w:p>
      <w:pPr>
        <w:pStyle w:val="127"/>
        <w:ind w:left="0" w:leftChars="0" w:firstLine="0" w:firstLineChars="0"/>
        <w:rPr>
          <w:rFonts w:hint="default"/>
          <w:lang w:val="en-US" w:eastAsia="zh-CN"/>
        </w:rPr>
      </w:pPr>
      <w:r>
        <w:rPr>
          <w:rFonts w:hint="eastAsia"/>
          <w:lang w:val="en-US" w:eastAsia="zh-CN"/>
        </w:rPr>
        <w:t>3.1</w:t>
      </w:r>
    </w:p>
    <w:p>
      <w:pPr>
        <w:pStyle w:val="127"/>
        <w:ind w:left="0" w:leftChars="0" w:firstLine="420" w:firstLineChars="0"/>
        <w:rPr>
          <w:rFonts w:hint="eastAsia"/>
          <w:lang w:val="en-US" w:eastAsia="zh-CN"/>
        </w:rPr>
      </w:pPr>
      <w:r>
        <w:rPr>
          <w:rFonts w:hint="eastAsia"/>
          <w:lang w:val="en-US" w:eastAsia="zh-CN"/>
        </w:rPr>
        <w:t>优质奶牛</w:t>
      </w:r>
    </w:p>
    <w:p>
      <w:pPr>
        <w:keepNext w:val="0"/>
        <w:keepLines w:val="0"/>
        <w:widowControl/>
        <w:suppressLineNumbers w:val="0"/>
        <w:ind w:firstLine="420" w:firstLineChars="200"/>
        <w:jc w:val="left"/>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highlight w:val="none"/>
          <w:lang w:val="en-US" w:eastAsia="zh-CN"/>
        </w:rPr>
        <w:t>符合奶牛本品种特征，生产性状</w:t>
      </w:r>
      <w:r>
        <w:rPr>
          <w:rFonts w:hint="eastAsia" w:asciiTheme="majorEastAsia" w:hAnsiTheme="majorEastAsia" w:eastAsiaTheme="majorEastAsia" w:cstheme="majorEastAsia"/>
          <w:highlight w:val="none"/>
          <w:lang w:val="en-US" w:eastAsia="zh"/>
        </w:rPr>
        <w:t>和体型</w:t>
      </w:r>
      <w:r>
        <w:rPr>
          <w:rFonts w:hint="eastAsia" w:asciiTheme="majorEastAsia" w:hAnsiTheme="majorEastAsia" w:eastAsiaTheme="majorEastAsia" w:cstheme="majorEastAsia"/>
          <w:highlight w:val="none"/>
          <w:lang w:val="en-US" w:eastAsia="zh-CN"/>
        </w:rPr>
        <w:t>外貌性状</w:t>
      </w:r>
      <w:r>
        <w:rPr>
          <w:rFonts w:hint="eastAsia" w:asciiTheme="majorEastAsia" w:hAnsiTheme="majorEastAsia" w:eastAsiaTheme="majorEastAsia" w:cstheme="majorEastAsia"/>
          <w:highlight w:val="none"/>
          <w:lang w:val="en-US" w:eastAsia="zh"/>
        </w:rPr>
        <w:t>优良的奶牛</w:t>
      </w:r>
      <w:r>
        <w:rPr>
          <w:rFonts w:hint="eastAsia" w:asciiTheme="majorEastAsia" w:hAnsiTheme="majorEastAsia" w:eastAsiaTheme="majorEastAsia" w:cstheme="majorEastAsia"/>
          <w:highlight w:val="none"/>
          <w:lang w:val="en-US" w:eastAsia="zh-CN"/>
        </w:rPr>
        <w:t>，</w:t>
      </w:r>
      <w:r>
        <w:rPr>
          <w:rFonts w:hint="eastAsia" w:asciiTheme="majorEastAsia" w:hAnsiTheme="majorEastAsia" w:eastAsiaTheme="majorEastAsia" w:cstheme="majorEastAsia"/>
          <w:lang w:val="en-US" w:eastAsia="zh-CN"/>
        </w:rPr>
        <w:t>用来配种进行繁殖的优良能繁母牛个体。</w:t>
      </w:r>
    </w:p>
    <w:p>
      <w:pPr>
        <w:pStyle w:val="127"/>
        <w:ind w:left="0" w:leftChars="0" w:firstLine="0" w:firstLineChars="0"/>
        <w:rPr>
          <w:rFonts w:hint="eastAsia" w:eastAsia="黑体"/>
          <w:lang w:eastAsia="zh-CN"/>
        </w:rPr>
      </w:pPr>
      <w:r>
        <w:rPr>
          <w:rFonts w:hint="eastAsia"/>
        </w:rPr>
        <w:t>3</w:t>
      </w:r>
      <w:r>
        <w:rPr>
          <w:rFonts w:hint="eastAsia"/>
          <w:lang w:val="en-US" w:eastAsia="zh-CN"/>
        </w:rPr>
        <w:t>.2</w:t>
      </w:r>
    </w:p>
    <w:p>
      <w:pPr>
        <w:pStyle w:val="25"/>
        <w:rPr>
          <w:rFonts w:hint="eastAsia" w:ascii="黑体" w:hAnsi="黑体" w:eastAsia="黑体"/>
          <w:color w:val="000000" w:themeColor="text1"/>
          <w:lang w:eastAsia="zh-CN"/>
          <w14:textFill>
            <w14:solidFill>
              <w14:schemeClr w14:val="tx1"/>
            </w14:solidFill>
          </w14:textFill>
        </w:rPr>
      </w:pPr>
      <w:r>
        <w:rPr>
          <w:rFonts w:hint="eastAsia" w:ascii="黑体" w:hAnsi="黑体" w:eastAsia="黑体"/>
          <w:color w:val="000000" w:themeColor="text1"/>
          <w14:textFill>
            <w14:solidFill>
              <w14:schemeClr w14:val="tx1"/>
            </w14:solidFill>
          </w14:textFill>
        </w:rPr>
        <w:t>核心</w:t>
      </w:r>
      <w:r>
        <w:rPr>
          <w:rFonts w:hint="eastAsia" w:ascii="黑体" w:hAnsi="黑体" w:eastAsia="黑体"/>
          <w:color w:val="000000" w:themeColor="text1"/>
          <w:lang w:eastAsia="zh-CN"/>
          <w14:textFill>
            <w14:solidFill>
              <w14:schemeClr w14:val="tx1"/>
            </w14:solidFill>
          </w14:textFill>
        </w:rPr>
        <w:t>场</w:t>
      </w:r>
    </w:p>
    <w:p>
      <w:pPr>
        <w:pStyle w:val="25"/>
        <w:rPr>
          <w:rFonts w:hint="eastAsia" w:eastAsia="宋体"/>
          <w:highlight w:val="none"/>
          <w:lang w:eastAsia="zh-CN"/>
        </w:rPr>
      </w:pPr>
      <w:r>
        <w:rPr>
          <w:rFonts w:hint="eastAsia"/>
          <w:color w:val="auto"/>
          <w:highlight w:val="none"/>
          <w:lang w:eastAsia="zh-CN"/>
        </w:rPr>
        <w:t>饲养</w:t>
      </w:r>
      <w:r>
        <w:rPr>
          <w:rFonts w:hint="eastAsia"/>
          <w:color w:val="auto"/>
          <w:highlight w:val="none"/>
          <w:lang w:eastAsia="zh"/>
        </w:rPr>
        <w:t>核心群奶牛，</w:t>
      </w:r>
      <w:r>
        <w:rPr>
          <w:rFonts w:hint="eastAsia"/>
          <w:color w:val="auto"/>
          <w:highlight w:val="none"/>
          <w:lang w:eastAsia="zh-CN"/>
        </w:rPr>
        <w:t>培育优质、</w:t>
      </w:r>
      <w:r>
        <w:rPr>
          <w:rFonts w:hint="eastAsia"/>
          <w:color w:val="auto"/>
          <w:highlight w:val="none"/>
          <w:lang w:eastAsia="zh"/>
        </w:rPr>
        <w:t>高产、健康和长寿等与生产紧密相关遗传性状的后备种子公牛或种子母牛</w:t>
      </w:r>
      <w:r>
        <w:rPr>
          <w:rFonts w:hint="eastAsia"/>
          <w:color w:val="auto"/>
          <w:highlight w:val="none"/>
          <w:lang w:eastAsia="zh-CN"/>
        </w:rPr>
        <w:t>的奶牛养殖场，且</w:t>
      </w:r>
      <w:r>
        <w:rPr>
          <w:rFonts w:hint="eastAsia"/>
          <w:lang w:eastAsia="zh-CN"/>
        </w:rPr>
        <w:t>在牛场布局、养殖规模、饲养管理、标准化生产、良种品种等方面都高于省部级标准化奶牛场。</w:t>
      </w:r>
    </w:p>
    <w:p>
      <w:pPr>
        <w:pStyle w:val="47"/>
        <w:numPr>
          <w:ilvl w:val="0"/>
          <w:numId w:val="0"/>
        </w:numPr>
        <w:spacing w:before="312" w:after="312"/>
        <w:ind w:leftChars="0"/>
      </w:pPr>
      <w:bookmarkStart w:id="20" w:name="_Toc48305693"/>
      <w:r>
        <w:rPr>
          <w:rFonts w:hint="eastAsia"/>
          <w:highlight w:val="none"/>
          <w:lang w:val="en-US" w:eastAsia="zh-CN"/>
        </w:rPr>
        <w:t xml:space="preserve">4  </w:t>
      </w:r>
      <w:r>
        <w:rPr>
          <w:rFonts w:hint="eastAsia"/>
          <w:highlight w:val="none"/>
        </w:rPr>
        <w:t>总体要求</w:t>
      </w:r>
      <w:bookmarkEnd w:id="20"/>
    </w:p>
    <w:p>
      <w:pPr>
        <w:pStyle w:val="25"/>
        <w:ind w:left="0" w:leftChars="0" w:firstLine="0" w:firstLineChars="0"/>
        <w:rPr>
          <w:rFonts w:hint="eastAsia"/>
          <w:lang w:val="en-US" w:eastAsia="zh-CN"/>
        </w:rPr>
      </w:pPr>
      <w:r>
        <w:rPr>
          <w:rFonts w:hint="eastAsia"/>
          <w:lang w:val="en-US" w:eastAsia="zh-CN"/>
        </w:rPr>
        <w:t>4.1场址不应位于禁养区域，并符合相关法律法规及土地利用规划。</w:t>
      </w:r>
    </w:p>
    <w:p>
      <w:pPr>
        <w:pStyle w:val="25"/>
        <w:ind w:left="0" w:leftChars="0" w:firstLine="0" w:firstLineChars="0"/>
        <w:rPr>
          <w:rFonts w:hint="eastAsia" w:ascii="宋体" w:hAnsi="宋体" w:eastAsia="宋体" w:cs="宋体"/>
          <w:szCs w:val="21"/>
        </w:rPr>
      </w:pPr>
      <w:r>
        <w:rPr>
          <w:rFonts w:hint="eastAsia" w:eastAsia="宋体"/>
          <w:lang w:val="en-US" w:eastAsia="zh-CN"/>
        </w:rPr>
        <w:t>4.2</w:t>
      </w:r>
      <w:r>
        <w:rPr>
          <w:rFonts w:hint="eastAsia" w:ascii="宋体" w:hAnsi="宋体" w:eastAsia="宋体" w:cs="宋体"/>
          <w:szCs w:val="21"/>
        </w:rPr>
        <w:t>依法向所在地县级人民政府</w:t>
      </w:r>
      <w:r>
        <w:rPr>
          <w:rFonts w:hint="eastAsia" w:hAnsi="宋体" w:cs="宋体"/>
          <w:szCs w:val="21"/>
          <w:lang w:eastAsia="zh-CN"/>
        </w:rPr>
        <w:t>农业农村</w:t>
      </w:r>
      <w:r>
        <w:rPr>
          <w:rFonts w:hint="eastAsia" w:ascii="宋体" w:hAnsi="宋体" w:eastAsia="宋体" w:cs="宋体"/>
          <w:szCs w:val="21"/>
        </w:rPr>
        <w:t>行政主管部门备案，取得有效《种畜禽生产经营许可证》《动物防疫条件合格证》和畜禽养殖代码。</w:t>
      </w:r>
    </w:p>
    <w:p>
      <w:pPr>
        <w:pStyle w:val="25"/>
        <w:ind w:left="0" w:leftChars="0" w:firstLine="0" w:firstLineChars="0"/>
        <w:rPr>
          <w:rFonts w:hint="default" w:ascii="宋体" w:hAnsi="宋体" w:eastAsia="宋体" w:cs="宋体"/>
          <w:szCs w:val="21"/>
          <w:highlight w:val="yellow"/>
          <w:lang w:val="en-US" w:eastAsia="zh"/>
        </w:rPr>
      </w:pPr>
      <w:r>
        <w:rPr>
          <w:rFonts w:hint="eastAsia" w:hAnsi="宋体" w:cs="宋体"/>
          <w:szCs w:val="21"/>
          <w:highlight w:val="none"/>
          <w:lang w:val="en-US" w:eastAsia="zh"/>
        </w:rPr>
        <w:t>4.3参加奶牛生产性能测定工作</w:t>
      </w:r>
      <w:r>
        <w:rPr>
          <w:rFonts w:hint="eastAsia" w:hAnsi="宋体" w:cs="宋体"/>
          <w:szCs w:val="21"/>
          <w:highlight w:val="none"/>
          <w:lang w:val="en-US" w:eastAsia="zh-CN"/>
        </w:rPr>
        <w:t>2</w:t>
      </w:r>
      <w:r>
        <w:rPr>
          <w:rFonts w:hint="eastAsia" w:hAnsi="宋体" w:cs="宋体"/>
          <w:szCs w:val="21"/>
          <w:highlight w:val="none"/>
          <w:lang w:val="en-US" w:eastAsia="zh"/>
        </w:rPr>
        <w:t>年</w:t>
      </w:r>
      <w:r>
        <w:rPr>
          <w:rFonts w:hint="eastAsia" w:hAnsi="宋体" w:cs="宋体"/>
          <w:szCs w:val="21"/>
          <w:highlight w:val="none"/>
          <w:lang w:val="en-US" w:eastAsia="zh-CN"/>
        </w:rPr>
        <w:t>及</w:t>
      </w:r>
      <w:r>
        <w:rPr>
          <w:rFonts w:hint="eastAsia" w:hAnsi="宋体" w:cs="宋体"/>
          <w:szCs w:val="21"/>
          <w:highlight w:val="none"/>
          <w:lang w:val="en-US" w:eastAsia="zh"/>
        </w:rPr>
        <w:t>以上。</w:t>
      </w:r>
    </w:p>
    <w:p>
      <w:pPr>
        <w:pStyle w:val="47"/>
        <w:numPr>
          <w:ilvl w:val="0"/>
          <w:numId w:val="0"/>
        </w:numPr>
        <w:spacing w:before="312" w:after="312"/>
      </w:pPr>
      <w:r>
        <w:rPr>
          <w:rFonts w:hint="eastAsia"/>
          <w:lang w:val="en-US" w:eastAsia="zh-CN"/>
        </w:rPr>
        <w:t xml:space="preserve">5  </w:t>
      </w:r>
      <w:r>
        <w:rPr>
          <w:rFonts w:hint="eastAsia"/>
          <w:lang w:eastAsia="zh-CN"/>
        </w:rPr>
        <w:t>基本</w:t>
      </w:r>
      <w:r>
        <w:rPr>
          <w:rFonts w:hint="eastAsia"/>
        </w:rPr>
        <w:t>条件</w:t>
      </w:r>
    </w:p>
    <w:p>
      <w:pPr>
        <w:rPr>
          <w:rFonts w:hint="eastAsia" w:ascii="宋体" w:hAnsi="宋体" w:cs="宋体"/>
          <w:szCs w:val="21"/>
          <w:lang w:eastAsia="zh-CN"/>
        </w:rPr>
      </w:pPr>
      <w:r>
        <w:rPr>
          <w:rFonts w:hint="eastAsia" w:asciiTheme="minorEastAsia" w:hAnsiTheme="minorEastAsia" w:eastAsiaTheme="minorEastAsia" w:cstheme="minorEastAsia"/>
          <w:szCs w:val="21"/>
          <w:lang w:val="en-US" w:eastAsia="zh-CN"/>
        </w:rPr>
        <w:t>5.1</w:t>
      </w:r>
      <w:r>
        <w:rPr>
          <w:rFonts w:hint="eastAsia" w:ascii="宋体" w:hAnsi="宋体" w:cs="宋体"/>
          <w:szCs w:val="21"/>
        </w:rPr>
        <w:t>饲养条件稳定，</w:t>
      </w:r>
      <w:r>
        <w:rPr>
          <w:rFonts w:hint="eastAsia" w:ascii="宋体" w:hAnsi="宋体" w:cs="宋体"/>
          <w:szCs w:val="21"/>
          <w:lang w:eastAsia="zh-CN"/>
        </w:rPr>
        <w:t>具备完善的繁育设备和档案资料。</w:t>
      </w:r>
    </w:p>
    <w:p>
      <w:pPr>
        <w:pStyle w:val="25"/>
        <w:ind w:left="0" w:leftChars="0" w:firstLine="0" w:firstLineChars="0"/>
        <w:rPr>
          <w:rFonts w:hint="eastAsia" w:ascii="宋体" w:hAnsi="宋体" w:cs="宋体"/>
          <w:color w:val="000000" w:themeColor="text1"/>
          <w:szCs w:val="21"/>
          <w:highlight w:val="none"/>
          <w:lang w:val="en-US" w:eastAsia="zh-CN"/>
          <w14:textFill>
            <w14:solidFill>
              <w14:schemeClr w14:val="tx1"/>
            </w14:solidFill>
          </w14:textFill>
        </w:rPr>
      </w:pPr>
      <w:r>
        <w:rPr>
          <w:rFonts w:hint="eastAsia"/>
          <w:lang w:val="en-US" w:eastAsia="zh-CN"/>
        </w:rPr>
        <w:t>5.2</w:t>
      </w:r>
      <w:r>
        <w:rPr>
          <w:rFonts w:hint="eastAsia"/>
          <w:lang w:eastAsia="zh-CN"/>
        </w:rPr>
        <w:t>奶牛品种单一，</w:t>
      </w:r>
      <w:r>
        <w:rPr>
          <w:rFonts w:hint="eastAsia" w:ascii="宋体" w:hAnsi="宋体" w:cs="宋体"/>
          <w:szCs w:val="21"/>
          <w:highlight w:val="none"/>
          <w:lang w:val="en-US" w:eastAsia="zh-CN"/>
        </w:rPr>
        <w:t>全群成母牛开展奶牛生产性能测定，</w:t>
      </w:r>
      <w:r>
        <w:rPr>
          <w:rFonts w:hint="eastAsia" w:ascii="宋体" w:hAnsi="宋体" w:cs="宋体"/>
          <w:color w:val="000000" w:themeColor="text1"/>
          <w:szCs w:val="21"/>
          <w:highlight w:val="none"/>
          <w:lang w:val="en-US" w:eastAsia="zh-CN"/>
          <w14:textFill>
            <w14:solidFill>
              <w14:schemeClr w14:val="tx1"/>
            </w14:solidFill>
          </w14:textFill>
        </w:rPr>
        <w:t>每年连续测定次数不低于6次</w:t>
      </w:r>
      <w:r>
        <w:rPr>
          <w:rFonts w:hint="eastAsia" w:hAnsi="宋体" w:cs="宋体"/>
          <w:color w:val="000000" w:themeColor="text1"/>
          <w:szCs w:val="21"/>
          <w:highlight w:val="none"/>
          <w:lang w:val="en-US" w:eastAsia="zh-CN"/>
          <w14:textFill>
            <w14:solidFill>
              <w14:schemeClr w14:val="tx1"/>
            </w14:solidFill>
          </w14:textFill>
        </w:rPr>
        <w:t>/头</w:t>
      </w:r>
      <w:r>
        <w:rPr>
          <w:rFonts w:hint="eastAsia" w:ascii="宋体" w:hAnsi="宋体" w:cs="宋体"/>
          <w:color w:val="000000" w:themeColor="text1"/>
          <w:szCs w:val="21"/>
          <w:highlight w:val="none"/>
          <w:lang w:val="en-US" w:eastAsia="zh-CN"/>
          <w14:textFill>
            <w14:solidFill>
              <w14:schemeClr w14:val="tx1"/>
            </w14:solidFill>
          </w14:textFill>
        </w:rPr>
        <w:t>。</w:t>
      </w:r>
    </w:p>
    <w:p>
      <w:pPr>
        <w:rPr>
          <w:rFonts w:hint="eastAsia" w:ascii="宋体" w:hAnsi="宋体" w:cs="宋体"/>
          <w:szCs w:val="21"/>
          <w:highlight w:val="none"/>
          <w:lang w:val="en-US" w:eastAsia="zh-CN"/>
        </w:rPr>
      </w:pPr>
      <w:r>
        <w:rPr>
          <w:rFonts w:hint="eastAsia" w:ascii="宋体" w:hAnsi="宋体" w:cs="宋体"/>
          <w:szCs w:val="21"/>
          <w:highlight w:val="none"/>
          <w:lang w:val="en-US" w:eastAsia="zh-CN"/>
        </w:rPr>
        <w:t>5.3生产管理标准化，有标准的SOP文件并参照执行。</w:t>
      </w:r>
    </w:p>
    <w:p>
      <w:pPr>
        <w:pStyle w:val="25"/>
        <w:ind w:left="0" w:leftChars="0" w:firstLine="0" w:firstLineChars="0"/>
        <w:rPr>
          <w:rFonts w:hint="eastAsia"/>
          <w:lang w:eastAsia="zh-CN"/>
        </w:rPr>
      </w:pPr>
      <w:r>
        <w:rPr>
          <w:rFonts w:hint="eastAsia"/>
          <w:lang w:val="en-US" w:eastAsia="zh-CN"/>
        </w:rPr>
        <w:t>5.4科学</w:t>
      </w:r>
      <w:r>
        <w:rPr>
          <w:rFonts w:hint="eastAsia"/>
          <w:lang w:eastAsia="zh-CN"/>
        </w:rPr>
        <w:t>制定育种规划，规范开展选种选配工作，自主培育遗传水平高、牛只健康的优质母牛群。</w:t>
      </w:r>
    </w:p>
    <w:p>
      <w:pPr>
        <w:rPr>
          <w:rFonts w:hint="eastAsia" w:ascii="宋体" w:hAnsi="宋体" w:cs="宋体"/>
          <w:szCs w:val="21"/>
          <w:highlight w:val="none"/>
          <w:lang w:val="en-US" w:eastAsia="zh-CN"/>
        </w:rPr>
      </w:pPr>
      <w:r>
        <w:rPr>
          <w:rFonts w:hint="eastAsia"/>
          <w:lang w:val="en-US" w:eastAsia="zh-CN"/>
        </w:rPr>
        <w:t>5.5</w:t>
      </w:r>
      <w:r>
        <w:rPr>
          <w:rFonts w:hint="eastAsia"/>
          <w:lang w:eastAsia="zh-CN"/>
        </w:rPr>
        <w:t>有专职的繁育技术人员，具有畜牧相关专业大专以上文化程度。</w:t>
      </w:r>
    </w:p>
    <w:p>
      <w:pPr>
        <w:pStyle w:val="25"/>
        <w:ind w:left="0" w:leftChars="0" w:firstLine="0" w:firstLineChars="0"/>
        <w:rPr>
          <w:rFonts w:hint="eastAsia" w:ascii="宋体" w:eastAsia="宋体"/>
          <w:lang w:val="en-US" w:eastAsia="zh-CN"/>
        </w:rPr>
      </w:pPr>
      <w:r>
        <w:rPr>
          <w:rFonts w:hint="eastAsia"/>
          <w:lang w:val="en-US" w:eastAsia="zh-CN"/>
        </w:rPr>
        <w:t>5.6</w:t>
      </w:r>
      <w:r>
        <w:rPr>
          <w:rFonts w:hint="eastAsia" w:ascii="宋体" w:eastAsia="宋体"/>
          <w:lang w:eastAsia="zh-CN"/>
        </w:rPr>
        <w:t>工作人员需岗前培训，有职业资格要求的岗位需持证上岗</w:t>
      </w:r>
      <w:r>
        <w:rPr>
          <w:rFonts w:hint="eastAsia" w:ascii="宋体" w:eastAsia="宋体"/>
          <w:lang w:val="en-US" w:eastAsia="zh-CN"/>
        </w:rPr>
        <w:t>。</w:t>
      </w:r>
    </w:p>
    <w:p>
      <w:pPr>
        <w:pStyle w:val="44"/>
        <w:keepNext w:val="0"/>
        <w:keepLines w:val="0"/>
        <w:pageBreakBefore w:val="0"/>
        <w:widowControl/>
        <w:numPr>
          <w:ilvl w:val="1"/>
          <w:numId w:val="0"/>
        </w:numPr>
        <w:kinsoku/>
        <w:wordWrap/>
        <w:overflowPunct/>
        <w:topLinePunct w:val="0"/>
        <w:autoSpaceDE/>
        <w:autoSpaceDN/>
        <w:bidi w:val="0"/>
        <w:adjustRightInd/>
        <w:snapToGrid/>
        <w:spacing w:before="156" w:after="156"/>
        <w:ind w:leftChars="0"/>
        <w:textAlignment w:val="auto"/>
        <w:rPr>
          <w:rFonts w:hint="eastAsia"/>
          <w:lang w:val="en-US" w:eastAsia="zh-CN"/>
        </w:rPr>
      </w:pPr>
      <w:r>
        <w:rPr>
          <w:rFonts w:hint="eastAsia"/>
          <w:lang w:val="en-US" w:eastAsia="zh-CN"/>
        </w:rPr>
        <w:t>6  牛场布局</w:t>
      </w:r>
    </w:p>
    <w:p>
      <w:pPr>
        <w:pStyle w:val="25"/>
        <w:ind w:firstLine="0" w:firstLineChars="0"/>
        <w:rPr>
          <w:rFonts w:hint="default"/>
          <w:lang w:val="en-US" w:eastAsia="zh-CN"/>
        </w:rPr>
      </w:pPr>
      <w:r>
        <w:rPr>
          <w:rFonts w:hint="eastAsia"/>
          <w:lang w:val="en-US" w:eastAsia="zh-CN"/>
        </w:rPr>
        <w:t>6.1功能区布局合理，符合NY/T 2662要求，</w:t>
      </w:r>
    </w:p>
    <w:p>
      <w:pPr>
        <w:pStyle w:val="25"/>
        <w:ind w:firstLine="0" w:firstLineChars="0"/>
        <w:rPr>
          <w:rFonts w:hint="eastAsia"/>
          <w:lang w:val="en-US" w:eastAsia="zh-CN"/>
        </w:rPr>
      </w:pPr>
      <w:r>
        <w:rPr>
          <w:rFonts w:hint="eastAsia"/>
          <w:lang w:val="en-US" w:eastAsia="zh-CN"/>
        </w:rPr>
        <w:t>6.2饲养密度适当，基础设施满足饲养管理要求。</w:t>
      </w:r>
    </w:p>
    <w:p>
      <w:pPr>
        <w:pStyle w:val="44"/>
        <w:numPr>
          <w:ilvl w:val="0"/>
          <w:numId w:val="0"/>
        </w:numPr>
        <w:spacing w:before="156" w:after="156"/>
        <w:rPr>
          <w:rFonts w:hint="eastAsia" w:ascii="宋体" w:hAnsi="宋体" w:eastAsia="宋体" w:cs="宋体"/>
          <w:szCs w:val="21"/>
        </w:rPr>
      </w:pPr>
      <w:r>
        <w:rPr>
          <w:rFonts w:hint="eastAsia"/>
          <w:lang w:val="en-US" w:eastAsia="zh-CN"/>
        </w:rPr>
        <w:t>7  种</w:t>
      </w:r>
      <w:r>
        <w:rPr>
          <w:rFonts w:hint="eastAsia"/>
          <w:lang w:eastAsia="zh-CN"/>
        </w:rPr>
        <w:t>群</w:t>
      </w:r>
      <w:r>
        <w:rPr>
          <w:rFonts w:hint="eastAsia"/>
        </w:rPr>
        <w:t>要求</w:t>
      </w:r>
    </w:p>
    <w:p>
      <w:pPr>
        <w:rPr>
          <w:rFonts w:hint="eastAsia" w:ascii="宋体" w:hAnsi="宋体" w:eastAsia="宋体" w:cs="宋体"/>
          <w:szCs w:val="21"/>
          <w:lang w:val="en-US" w:eastAsia="zh-CN"/>
        </w:rPr>
      </w:pPr>
      <w:r>
        <w:rPr>
          <w:rFonts w:hint="eastAsia" w:ascii="宋体" w:hAnsi="宋体" w:cs="宋体"/>
          <w:szCs w:val="21"/>
          <w:lang w:val="en-US" w:eastAsia="zh-CN"/>
        </w:rPr>
        <w:t>7.2</w:t>
      </w:r>
      <w:r>
        <w:rPr>
          <w:rFonts w:hint="eastAsia" w:ascii="宋体" w:hAnsi="宋体" w:eastAsia="宋体" w:cs="宋体"/>
          <w:szCs w:val="21"/>
          <w:lang w:val="en-US" w:eastAsia="zh-CN"/>
        </w:rPr>
        <w:t>单品种成母牛存栏</w:t>
      </w:r>
      <w:r>
        <w:rPr>
          <w:rFonts w:hint="eastAsia" w:ascii="宋体" w:hAnsi="宋体" w:eastAsia="宋体" w:cs="宋体"/>
          <w:szCs w:val="21"/>
          <w:highlight w:val="none"/>
          <w:lang w:val="en-US" w:eastAsia="zh-CN"/>
        </w:rPr>
        <w:t>300头</w:t>
      </w:r>
      <w:r>
        <w:rPr>
          <w:rFonts w:hint="eastAsia" w:ascii="宋体" w:hAnsi="宋体" w:eastAsia="宋体" w:cs="宋体"/>
          <w:szCs w:val="21"/>
          <w:lang w:val="en-US" w:eastAsia="zh-CN"/>
        </w:rPr>
        <w:t>以上。</w:t>
      </w:r>
    </w:p>
    <w:p>
      <w:pPr>
        <w:rPr>
          <w:rFonts w:hint="eastAsia" w:ascii="宋体" w:hAnsi="宋体" w:eastAsia="宋体" w:cs="宋体"/>
          <w:szCs w:val="21"/>
          <w:lang w:val="en-US" w:eastAsia="zh-CN"/>
        </w:rPr>
      </w:pPr>
      <w:r>
        <w:rPr>
          <w:rFonts w:hint="eastAsia" w:ascii="宋体" w:hAnsi="宋体" w:cs="宋体"/>
          <w:szCs w:val="21"/>
          <w:lang w:val="en-US" w:eastAsia="zh-CN"/>
        </w:rPr>
        <w:t>7.3全群</w:t>
      </w:r>
      <w:r>
        <w:rPr>
          <w:rFonts w:hint="eastAsia" w:ascii="宋体" w:hAnsi="宋体" w:eastAsia="宋体" w:cs="宋体"/>
          <w:szCs w:val="21"/>
          <w:lang w:val="en-US" w:eastAsia="zh-CN"/>
        </w:rPr>
        <w:t>泌乳牛305</w:t>
      </w:r>
      <w:r>
        <w:rPr>
          <w:rFonts w:hint="default" w:ascii="宋体" w:hAnsi="宋体" w:cs="宋体"/>
          <w:szCs w:val="21"/>
          <w:lang w:val="en" w:eastAsia="zh-CN"/>
        </w:rPr>
        <w:t>d</w:t>
      </w:r>
      <w:r>
        <w:rPr>
          <w:rFonts w:hint="eastAsia" w:ascii="宋体" w:hAnsi="宋体" w:eastAsia="宋体" w:cs="宋体"/>
          <w:szCs w:val="21"/>
          <w:lang w:val="en-US" w:eastAsia="zh-CN"/>
        </w:rPr>
        <w:t>平均产奶量</w:t>
      </w:r>
      <w:r>
        <w:rPr>
          <w:rFonts w:hint="eastAsia" w:ascii="宋体" w:hAnsi="宋体" w:cs="宋体"/>
          <w:szCs w:val="21"/>
          <w:highlight w:val="none"/>
          <w:lang w:val="en-US" w:eastAsia="zh-CN"/>
        </w:rPr>
        <w:t>10000</w:t>
      </w:r>
      <w:r>
        <w:rPr>
          <w:rFonts w:hint="eastAsia" w:ascii="宋体" w:hAnsi="宋体" w:eastAsia="宋体" w:cs="宋体"/>
          <w:szCs w:val="21"/>
          <w:highlight w:val="none"/>
          <w:lang w:val="en-US" w:eastAsia="zh-CN"/>
        </w:rPr>
        <w:t>kg</w:t>
      </w:r>
      <w:r>
        <w:rPr>
          <w:rFonts w:hint="eastAsia" w:ascii="宋体" w:hAnsi="宋体" w:eastAsia="宋体" w:cs="宋体"/>
          <w:szCs w:val="21"/>
          <w:lang w:val="en-US" w:eastAsia="zh-CN"/>
        </w:rPr>
        <w:t>以上，平均乳脂率不低于</w:t>
      </w:r>
      <w:r>
        <w:rPr>
          <w:rFonts w:hint="eastAsia" w:ascii="宋体" w:hAnsi="宋体" w:eastAsia="宋体" w:cs="宋体"/>
          <w:szCs w:val="21"/>
          <w:highlight w:val="none"/>
          <w:lang w:val="en-US" w:eastAsia="zh-CN"/>
        </w:rPr>
        <w:t>3.6</w:t>
      </w:r>
      <w:r>
        <w:rPr>
          <w:rFonts w:hint="eastAsia" w:ascii="宋体" w:hAnsi="宋体" w:eastAsia="宋体" w:cs="宋体"/>
          <w:szCs w:val="21"/>
          <w:lang w:val="en-US" w:eastAsia="zh-CN"/>
        </w:rPr>
        <w:t>%，平均乳蛋白率不低于</w:t>
      </w:r>
      <w:r>
        <w:rPr>
          <w:rFonts w:hint="eastAsia" w:ascii="宋体" w:hAnsi="宋体" w:eastAsia="宋体" w:cs="宋体"/>
          <w:szCs w:val="21"/>
          <w:highlight w:val="none"/>
          <w:lang w:val="en-US" w:eastAsia="zh-CN"/>
        </w:rPr>
        <w:t>3.1</w:t>
      </w:r>
      <w:r>
        <w:rPr>
          <w:rFonts w:hint="eastAsia" w:ascii="宋体" w:hAnsi="宋体" w:eastAsia="宋体" w:cs="宋体"/>
          <w:szCs w:val="21"/>
          <w:lang w:val="en-US" w:eastAsia="zh-CN"/>
        </w:rPr>
        <w:t>%。</w:t>
      </w:r>
    </w:p>
    <w:p>
      <w:pPr>
        <w:rPr>
          <w:rFonts w:hint="eastAsia" w:ascii="宋体" w:hAnsi="宋体" w:eastAsia="宋体" w:cs="宋体"/>
          <w:szCs w:val="21"/>
          <w:lang w:val="en-US" w:eastAsia="zh-CN"/>
        </w:rPr>
      </w:pPr>
      <w:r>
        <w:rPr>
          <w:rFonts w:hint="eastAsia" w:ascii="宋体" w:hAnsi="宋体" w:cs="宋体"/>
          <w:szCs w:val="21"/>
          <w:lang w:val="en-US" w:eastAsia="zh-CN"/>
        </w:rPr>
        <w:t>7.4</w:t>
      </w:r>
      <w:r>
        <w:rPr>
          <w:rFonts w:hint="eastAsia" w:hAnsi="宋体" w:cs="宋体"/>
        </w:rPr>
        <w:t>按照</w:t>
      </w:r>
      <w:r>
        <w:rPr>
          <w:rFonts w:ascii="Times New Roman"/>
        </w:rPr>
        <w:t>GB/T 35568</w:t>
      </w:r>
      <w:r>
        <w:rPr>
          <w:rFonts w:hint="eastAsia" w:hAnsi="宋体" w:cs="宋体"/>
        </w:rPr>
        <w:t>实施体型鉴定</w:t>
      </w:r>
      <w:r>
        <w:rPr>
          <w:rFonts w:hint="eastAsia" w:ascii="宋体" w:hAnsi="宋体" w:eastAsia="宋体" w:cs="宋体"/>
          <w:szCs w:val="21"/>
          <w:lang w:val="en-US" w:eastAsia="zh-CN"/>
        </w:rPr>
        <w:t>，</w:t>
      </w:r>
      <w:r>
        <w:rPr>
          <w:rFonts w:hint="eastAsia" w:ascii="宋体" w:hAnsi="宋体" w:cs="宋体"/>
          <w:szCs w:val="21"/>
          <w:lang w:val="en-US" w:eastAsia="zh-CN"/>
        </w:rPr>
        <w:t>鉴定报告真实有效，</w:t>
      </w:r>
      <w:r>
        <w:rPr>
          <w:rFonts w:hint="eastAsia" w:ascii="宋体" w:hAnsi="宋体" w:eastAsia="宋体" w:cs="宋体"/>
          <w:szCs w:val="21"/>
          <w:lang w:val="en-US" w:eastAsia="zh-CN"/>
        </w:rPr>
        <w:t>无</w:t>
      </w:r>
      <w:r>
        <w:rPr>
          <w:rFonts w:hint="eastAsia" w:ascii="宋体" w:hAnsi="宋体" w:cs="宋体"/>
          <w:szCs w:val="21"/>
          <w:lang w:val="en-US" w:eastAsia="zh-CN"/>
        </w:rPr>
        <w:t>显著</w:t>
      </w:r>
      <w:r>
        <w:rPr>
          <w:rFonts w:hint="eastAsia" w:ascii="宋体" w:hAnsi="宋体" w:eastAsia="宋体" w:cs="宋体"/>
          <w:szCs w:val="21"/>
          <w:lang w:val="en-US" w:eastAsia="zh-CN"/>
        </w:rPr>
        <w:t>遗传缺陷或损征</w:t>
      </w:r>
      <w:r>
        <w:rPr>
          <w:rFonts w:hint="eastAsia" w:ascii="宋体" w:hAnsi="宋体" w:cs="宋体"/>
          <w:szCs w:val="21"/>
          <w:lang w:val="en-US" w:eastAsia="zh-CN"/>
        </w:rPr>
        <w:t>。</w:t>
      </w:r>
    </w:p>
    <w:p>
      <w:pPr>
        <w:rPr>
          <w:rFonts w:hint="eastAsia" w:ascii="宋体" w:hAnsi="宋体" w:eastAsia="宋体" w:cs="宋体"/>
          <w:szCs w:val="21"/>
          <w:lang w:val="en-US" w:eastAsia="zh-CN"/>
        </w:rPr>
      </w:pPr>
      <w:r>
        <w:rPr>
          <w:rFonts w:hint="eastAsia" w:ascii="宋体" w:hAnsi="宋体" w:cs="宋体"/>
          <w:szCs w:val="21"/>
          <w:lang w:val="en-US" w:eastAsia="zh-CN"/>
        </w:rPr>
        <w:t>7.5</w:t>
      </w:r>
      <w:r>
        <w:rPr>
          <w:rFonts w:hint="eastAsia" w:ascii="宋体" w:hAnsi="宋体" w:eastAsia="宋体" w:cs="宋体"/>
          <w:szCs w:val="21"/>
          <w:lang w:val="en-US" w:eastAsia="zh-CN"/>
        </w:rPr>
        <w:t>牛群健康符合</w:t>
      </w:r>
      <w:r>
        <w:rPr>
          <w:rFonts w:hint="eastAsia" w:ascii="宋体" w:hAnsi="宋体" w:cs="宋体"/>
          <w:szCs w:val="21"/>
          <w:lang w:val="en-US" w:eastAsia="zh-CN"/>
        </w:rPr>
        <w:t>中华人民共和国农业部第1137号</w:t>
      </w:r>
      <w:r>
        <w:rPr>
          <w:rFonts w:hint="eastAsia" w:ascii="宋体" w:hAnsi="宋体" w:eastAsia="宋体" w:cs="宋体"/>
          <w:szCs w:val="21"/>
          <w:lang w:val="en-US" w:eastAsia="zh-CN"/>
        </w:rPr>
        <w:t>《乳用动物健康标准》要求，连续2年</w:t>
      </w:r>
      <w:r>
        <w:rPr>
          <w:rFonts w:hint="eastAsia" w:ascii="宋体" w:hAnsi="宋体" w:cs="宋体"/>
          <w:szCs w:val="21"/>
          <w:lang w:val="en-US" w:eastAsia="zh-CN"/>
        </w:rPr>
        <w:t>以上</w:t>
      </w:r>
      <w:r>
        <w:rPr>
          <w:rFonts w:hint="eastAsia" w:ascii="宋体" w:hAnsi="宋体" w:eastAsia="宋体" w:cs="宋体"/>
          <w:szCs w:val="21"/>
          <w:lang w:val="en-US" w:eastAsia="zh-CN"/>
        </w:rPr>
        <w:t>未发生口蹄疫、布鲁氏菌病、结核病等疫病。</w:t>
      </w:r>
    </w:p>
    <w:p>
      <w:pPr>
        <w:rPr>
          <w:rFonts w:hint="default" w:ascii="宋体" w:hAnsi="宋体" w:eastAsia="宋体" w:cs="宋体"/>
          <w:color w:val="FF0000"/>
          <w:szCs w:val="21"/>
          <w:highlight w:val="yellow"/>
          <w:lang w:val="en-US" w:eastAsia="zh"/>
        </w:rPr>
      </w:pPr>
      <w:r>
        <w:rPr>
          <w:rFonts w:hint="eastAsia" w:ascii="宋体" w:hAnsi="宋体" w:cs="宋体"/>
          <w:szCs w:val="21"/>
          <w:highlight w:val="none"/>
          <w:lang w:val="en-US" w:eastAsia="zh-CN"/>
        </w:rPr>
        <w:t>7.6</w:t>
      </w:r>
      <w:r>
        <w:rPr>
          <w:rFonts w:hint="eastAsia" w:ascii="宋体" w:hAnsi="宋体" w:cs="宋体"/>
          <w:szCs w:val="21"/>
          <w:highlight w:val="none"/>
          <w:lang w:val="en-US" w:eastAsia="zh"/>
        </w:rPr>
        <w:t>核心群</w:t>
      </w:r>
      <w:r>
        <w:rPr>
          <w:rFonts w:hint="eastAsia" w:ascii="宋体" w:hAnsi="宋体" w:cs="宋体"/>
          <w:szCs w:val="21"/>
          <w:highlight w:val="none"/>
          <w:lang w:val="en-US" w:eastAsia="zh-CN"/>
        </w:rPr>
        <w:t>选择应符合DB 13/T 5479要求</w:t>
      </w:r>
      <w:r>
        <w:rPr>
          <w:rFonts w:hint="eastAsia" w:ascii="宋体" w:hAnsi="宋体" w:cs="宋体"/>
          <w:color w:val="auto"/>
          <w:szCs w:val="21"/>
          <w:highlight w:val="none"/>
          <w:lang w:val="en-US" w:eastAsia="zh"/>
        </w:rPr>
        <w:t>。</w:t>
      </w:r>
    </w:p>
    <w:p>
      <w:pPr>
        <w:rPr>
          <w:rFonts w:hint="eastAsia" w:ascii="宋体" w:hAnsi="宋体" w:cs="宋体"/>
          <w:szCs w:val="21"/>
          <w:lang w:val="en-US" w:eastAsia="zh-CN"/>
        </w:rPr>
      </w:pPr>
      <w:r>
        <w:rPr>
          <w:rFonts w:hint="eastAsia" w:ascii="宋体" w:hAnsi="宋体" w:cs="宋体"/>
          <w:szCs w:val="21"/>
          <w:lang w:val="en-US" w:eastAsia="zh-CN"/>
        </w:rPr>
        <w:t>7.7</w:t>
      </w:r>
      <w:r>
        <w:rPr>
          <w:rFonts w:hint="eastAsia" w:ascii="宋体" w:hAnsi="宋体" w:eastAsia="宋体" w:cs="宋体"/>
          <w:szCs w:val="21"/>
          <w:lang w:val="en-US" w:eastAsia="zh-CN"/>
        </w:rPr>
        <w:t>标准化牛舍配备与成母牛规模相适应的卧床</w:t>
      </w:r>
      <w:r>
        <w:rPr>
          <w:rFonts w:hint="eastAsia" w:ascii="宋体" w:hAnsi="宋体" w:cs="宋体"/>
          <w:szCs w:val="21"/>
          <w:lang w:val="en-US" w:eastAsia="zh-CN"/>
        </w:rPr>
        <w:t>或</w:t>
      </w:r>
      <w:r>
        <w:rPr>
          <w:rFonts w:hint="eastAsia" w:ascii="宋体" w:hAnsi="宋体" w:eastAsia="宋体" w:cs="宋体"/>
          <w:szCs w:val="21"/>
          <w:lang w:val="en-US" w:eastAsia="zh-CN"/>
        </w:rPr>
        <w:t>运动场，应符合NY/T 2662.6.1</w:t>
      </w:r>
      <w:r>
        <w:rPr>
          <w:rFonts w:hint="eastAsia" w:ascii="宋体" w:hAnsi="宋体" w:cs="宋体"/>
          <w:szCs w:val="21"/>
          <w:lang w:val="en-US" w:eastAsia="zh-CN"/>
        </w:rPr>
        <w:t>的</w:t>
      </w:r>
      <w:r>
        <w:rPr>
          <w:rFonts w:hint="eastAsia" w:ascii="宋体" w:hAnsi="宋体" w:eastAsia="宋体" w:cs="宋体"/>
          <w:szCs w:val="21"/>
          <w:lang w:val="en-US" w:eastAsia="zh-CN"/>
        </w:rPr>
        <w:t>规定</w:t>
      </w:r>
      <w:r>
        <w:rPr>
          <w:rFonts w:hint="eastAsia" w:ascii="宋体" w:hAnsi="宋体" w:cs="宋体"/>
          <w:szCs w:val="21"/>
          <w:lang w:val="en-US" w:eastAsia="zh-CN"/>
        </w:rPr>
        <w:t>。</w:t>
      </w:r>
    </w:p>
    <w:p>
      <w:pPr>
        <w:rPr>
          <w:rFonts w:hint="eastAsia" w:ascii="宋体" w:hAnsi="宋体" w:eastAsia="宋体" w:cs="宋体"/>
          <w:szCs w:val="21"/>
          <w:lang w:val="en-US" w:eastAsia="zh-CN"/>
        </w:rPr>
      </w:pPr>
      <w:r>
        <w:rPr>
          <w:rFonts w:hint="eastAsia" w:ascii="宋体" w:hAnsi="宋体" w:cs="宋体"/>
          <w:szCs w:val="21"/>
          <w:lang w:val="en-US" w:eastAsia="zh-CN"/>
        </w:rPr>
        <w:t>7.8</w:t>
      </w:r>
      <w:r>
        <w:rPr>
          <w:rFonts w:hint="eastAsia" w:ascii="宋体" w:hAnsi="宋体" w:eastAsia="宋体" w:cs="宋体"/>
          <w:color w:val="auto"/>
          <w:szCs w:val="21"/>
          <w:lang w:val="en-US" w:eastAsia="zh-CN"/>
        </w:rPr>
        <w:t>分群饲喂，</w:t>
      </w:r>
      <w:r>
        <w:rPr>
          <w:rFonts w:hint="eastAsia" w:ascii="宋体" w:hAnsi="宋体" w:cs="宋体"/>
          <w:color w:val="auto"/>
          <w:szCs w:val="21"/>
          <w:lang w:val="en-US" w:eastAsia="zh-CN"/>
        </w:rPr>
        <w:t>分别</w:t>
      </w:r>
      <w:r>
        <w:rPr>
          <w:rFonts w:hint="eastAsia" w:ascii="宋体" w:hAnsi="宋体" w:eastAsia="宋体" w:cs="宋体"/>
          <w:color w:val="auto"/>
          <w:szCs w:val="21"/>
          <w:lang w:val="en-US" w:eastAsia="zh-CN"/>
        </w:rPr>
        <w:t>使用</w:t>
      </w:r>
      <w:r>
        <w:rPr>
          <w:rFonts w:hint="eastAsia" w:ascii="宋体" w:hAnsi="宋体" w:cs="宋体"/>
          <w:color w:val="auto"/>
          <w:szCs w:val="21"/>
          <w:lang w:val="en-US" w:eastAsia="zh-CN"/>
        </w:rPr>
        <w:t>不同生长阶段</w:t>
      </w:r>
      <w:r>
        <w:rPr>
          <w:rFonts w:hint="eastAsia" w:ascii="宋体" w:hAnsi="宋体" w:eastAsia="宋体" w:cs="宋体"/>
          <w:color w:val="auto"/>
          <w:szCs w:val="21"/>
          <w:lang w:val="en-US" w:eastAsia="zh-CN"/>
        </w:rPr>
        <w:t>TMR</w:t>
      </w:r>
      <w:r>
        <w:rPr>
          <w:rFonts w:hint="eastAsia" w:ascii="宋体" w:hAnsi="宋体" w:cs="宋体"/>
          <w:color w:val="auto"/>
          <w:szCs w:val="21"/>
          <w:lang w:val="en-US" w:eastAsia="zh-CN"/>
        </w:rPr>
        <w:t>。</w:t>
      </w:r>
    </w:p>
    <w:p>
      <w:pPr>
        <w:rPr>
          <w:rFonts w:hint="default" w:ascii="宋体" w:hAnsi="宋体" w:eastAsia="宋体" w:cs="宋体"/>
          <w:szCs w:val="21"/>
          <w:lang w:val="en-US" w:eastAsia="zh-CN"/>
        </w:rPr>
      </w:pPr>
      <w:r>
        <w:rPr>
          <w:rFonts w:hint="eastAsia" w:ascii="宋体" w:hAnsi="宋体" w:cs="宋体"/>
          <w:szCs w:val="21"/>
          <w:lang w:val="en-US" w:eastAsia="zh-CN"/>
        </w:rPr>
        <w:t>7.9</w:t>
      </w:r>
      <w:r>
        <w:rPr>
          <w:rFonts w:hint="eastAsia" w:ascii="宋体" w:hAnsi="宋体" w:eastAsia="宋体" w:cs="宋体"/>
          <w:szCs w:val="21"/>
          <w:lang w:val="en-US" w:eastAsia="zh-CN"/>
        </w:rPr>
        <w:t>具有相对独立的兽医室、繁育室、</w:t>
      </w:r>
      <w:r>
        <w:rPr>
          <w:rFonts w:hint="eastAsia" w:ascii="宋体" w:hAnsi="宋体" w:cs="宋体"/>
          <w:szCs w:val="21"/>
          <w:lang w:val="en-US" w:eastAsia="zh-CN"/>
        </w:rPr>
        <w:t>生鲜乳</w:t>
      </w:r>
      <w:r>
        <w:rPr>
          <w:rFonts w:hint="eastAsia" w:ascii="宋体" w:hAnsi="宋体" w:eastAsia="宋体" w:cs="宋体"/>
          <w:szCs w:val="21"/>
          <w:lang w:val="en-US" w:eastAsia="zh-CN"/>
        </w:rPr>
        <w:t>和饲料检测</w:t>
      </w:r>
      <w:r>
        <w:rPr>
          <w:rFonts w:hint="eastAsia" w:ascii="宋体" w:hAnsi="宋体" w:cs="宋体"/>
          <w:szCs w:val="21"/>
          <w:lang w:val="en-US" w:eastAsia="zh-CN"/>
        </w:rPr>
        <w:t>室</w:t>
      </w:r>
      <w:r>
        <w:rPr>
          <w:rFonts w:hint="eastAsia" w:ascii="宋体" w:hAnsi="宋体" w:eastAsia="宋体" w:cs="宋体"/>
          <w:szCs w:val="21"/>
          <w:lang w:val="en-US" w:eastAsia="zh-CN"/>
        </w:rPr>
        <w:t>，配备相应的检测设备。</w:t>
      </w:r>
    </w:p>
    <w:p>
      <w:pPr>
        <w:pStyle w:val="44"/>
        <w:keepNext w:val="0"/>
        <w:keepLines w:val="0"/>
        <w:pageBreakBefore w:val="0"/>
        <w:widowControl/>
        <w:numPr>
          <w:ilvl w:val="1"/>
          <w:numId w:val="0"/>
        </w:numPr>
        <w:kinsoku/>
        <w:wordWrap/>
        <w:overflowPunct/>
        <w:topLinePunct w:val="0"/>
        <w:autoSpaceDE/>
        <w:autoSpaceDN/>
        <w:bidi w:val="0"/>
        <w:adjustRightInd/>
        <w:snapToGrid/>
        <w:spacing w:before="156" w:after="156"/>
        <w:ind w:leftChars="0"/>
        <w:textAlignment w:val="auto"/>
        <w:rPr>
          <w:rFonts w:hint="eastAsia"/>
          <w:highlight w:val="none"/>
          <w:lang w:val="en-US" w:eastAsia="zh-CN"/>
        </w:rPr>
      </w:pPr>
      <w:r>
        <w:rPr>
          <w:rFonts w:hint="eastAsia"/>
          <w:highlight w:val="none"/>
          <w:lang w:val="en-US" w:eastAsia="zh-CN"/>
        </w:rPr>
        <w:t>8  饲养管理</w:t>
      </w:r>
    </w:p>
    <w:p>
      <w:pPr>
        <w:pStyle w:val="25"/>
        <w:ind w:left="0" w:leftChars="0" w:firstLine="0" w:firstLineChars="0"/>
        <w:rPr>
          <w:rFonts w:hint="eastAsia"/>
          <w:highlight w:val="none"/>
          <w:lang w:val="en-US" w:eastAsia="zh-CN"/>
        </w:rPr>
      </w:pPr>
      <w:r>
        <w:rPr>
          <w:rFonts w:hint="eastAsia"/>
          <w:highlight w:val="none"/>
          <w:lang w:val="en-US" w:eastAsia="zh-CN"/>
        </w:rPr>
        <w:t>8.1全混合日粮（TMR）配置操作规程应符合DB13/T984的规定。</w:t>
      </w:r>
    </w:p>
    <w:p>
      <w:pPr>
        <w:pStyle w:val="25"/>
        <w:ind w:left="0" w:leftChars="0" w:firstLine="0" w:firstLineChars="0"/>
        <w:rPr>
          <w:rFonts w:hint="eastAsia"/>
          <w:highlight w:val="none"/>
          <w:lang w:val="en-US" w:eastAsia="zh-CN"/>
        </w:rPr>
      </w:pPr>
      <w:r>
        <w:rPr>
          <w:rFonts w:hint="eastAsia"/>
          <w:highlight w:val="none"/>
          <w:lang w:val="en-US" w:eastAsia="zh-CN"/>
        </w:rPr>
        <w:t>8.2泌乳牛挤奶流程</w:t>
      </w:r>
      <w:r>
        <w:rPr>
          <w:rFonts w:hint="eastAsia" w:ascii="宋体" w:hAnsi="宋体" w:eastAsia="宋体" w:cs="宋体"/>
          <w:szCs w:val="21"/>
          <w:highlight w:val="none"/>
          <w:lang w:val="en-US" w:eastAsia="zh-CN"/>
        </w:rPr>
        <w:t>应符合NY/T</w:t>
      </w:r>
      <w:r>
        <w:rPr>
          <w:rFonts w:hint="eastAsia" w:hAnsi="宋体" w:cs="宋体"/>
          <w:szCs w:val="21"/>
          <w:highlight w:val="none"/>
          <w:lang w:val="en-US" w:eastAsia="zh-CN"/>
        </w:rPr>
        <w:t xml:space="preserve"> </w:t>
      </w:r>
      <w:r>
        <w:rPr>
          <w:rFonts w:hint="eastAsia" w:ascii="宋体" w:hAnsi="宋体" w:eastAsia="宋体" w:cs="宋体"/>
          <w:szCs w:val="21"/>
          <w:highlight w:val="none"/>
          <w:lang w:val="en-US" w:eastAsia="zh-CN"/>
        </w:rPr>
        <w:t>2662.7.3的规定</w:t>
      </w:r>
      <w:r>
        <w:rPr>
          <w:rFonts w:hint="eastAsia" w:hAnsi="宋体" w:cs="宋体"/>
          <w:szCs w:val="21"/>
          <w:highlight w:val="none"/>
          <w:lang w:val="en-US" w:eastAsia="zh-CN"/>
        </w:rPr>
        <w:t>。</w:t>
      </w:r>
    </w:p>
    <w:p>
      <w:pPr>
        <w:pStyle w:val="25"/>
        <w:ind w:left="0" w:leftChars="0" w:firstLine="0" w:firstLineChars="0"/>
        <w:rPr>
          <w:rFonts w:hint="eastAsia"/>
          <w:highlight w:val="none"/>
          <w:lang w:val="en-US" w:eastAsia="zh-CN"/>
        </w:rPr>
      </w:pPr>
      <w:r>
        <w:rPr>
          <w:rFonts w:hint="eastAsia"/>
          <w:highlight w:val="none"/>
          <w:lang w:val="en-US" w:eastAsia="zh-CN"/>
        </w:rPr>
        <w:t>8.3干奶期奶牛饲养管理应符合DB13/T 982的规定。</w:t>
      </w:r>
    </w:p>
    <w:p>
      <w:pPr>
        <w:pStyle w:val="25"/>
        <w:ind w:left="0" w:leftChars="0" w:firstLine="0" w:firstLineChars="0"/>
        <w:rPr>
          <w:rFonts w:hint="eastAsia"/>
          <w:highlight w:val="none"/>
          <w:lang w:val="en-US" w:eastAsia="zh-CN"/>
        </w:rPr>
      </w:pPr>
      <w:r>
        <w:rPr>
          <w:rFonts w:hint="eastAsia"/>
          <w:highlight w:val="none"/>
          <w:lang w:val="en-US" w:eastAsia="zh-CN"/>
        </w:rPr>
        <w:t>8.4围产期奶牛饲养管理应符合DB13/T 2874的规定。</w:t>
      </w:r>
    </w:p>
    <w:p>
      <w:pPr>
        <w:pStyle w:val="25"/>
        <w:ind w:firstLine="0" w:firstLineChars="0"/>
        <w:rPr>
          <w:rFonts w:hint="eastAsia"/>
          <w:highlight w:val="none"/>
          <w:lang w:val="en-US" w:eastAsia="zh-CN"/>
        </w:rPr>
      </w:pPr>
      <w:r>
        <w:rPr>
          <w:rFonts w:hint="eastAsia"/>
          <w:highlight w:val="none"/>
          <w:lang w:val="en-US" w:eastAsia="zh-CN"/>
        </w:rPr>
        <w:t>8.5</w:t>
      </w:r>
      <w:r>
        <w:rPr>
          <w:rFonts w:hint="eastAsia" w:ascii="宋体" w:hAnsi="宋体" w:eastAsia="宋体" w:cs="宋体"/>
          <w:color w:val="auto"/>
          <w:szCs w:val="21"/>
        </w:rPr>
        <w:t>具有</w:t>
      </w:r>
      <w:r>
        <w:rPr>
          <w:rFonts w:hint="eastAsia" w:ascii="宋体" w:hAnsi="宋体" w:cs="宋体"/>
          <w:color w:val="auto"/>
          <w:szCs w:val="21"/>
          <w:lang w:eastAsia="zh-CN"/>
        </w:rPr>
        <w:t>牧场</w:t>
      </w:r>
      <w:r>
        <w:rPr>
          <w:rFonts w:hint="eastAsia" w:ascii="宋体" w:hAnsi="宋体" w:eastAsia="宋体" w:cs="宋体"/>
          <w:color w:val="auto"/>
          <w:szCs w:val="21"/>
        </w:rPr>
        <w:t>生产管理软件，实</w:t>
      </w:r>
      <w:r>
        <w:rPr>
          <w:rFonts w:hint="eastAsia" w:ascii="宋体" w:hAnsi="宋体" w:cs="宋体"/>
          <w:color w:val="auto"/>
          <w:szCs w:val="21"/>
          <w:lang w:eastAsia="zh-CN"/>
        </w:rPr>
        <w:t>现</w:t>
      </w:r>
      <w:r>
        <w:rPr>
          <w:rFonts w:hint="eastAsia" w:ascii="宋体" w:hAnsi="宋体" w:eastAsia="宋体" w:cs="宋体"/>
          <w:color w:val="auto"/>
          <w:szCs w:val="21"/>
        </w:rPr>
        <w:t>信息化管理</w:t>
      </w:r>
      <w:r>
        <w:rPr>
          <w:rFonts w:hint="eastAsia"/>
          <w:highlight w:val="none"/>
          <w:lang w:val="en-US" w:eastAsia="zh-CN"/>
        </w:rPr>
        <w:t>。见附录A</w:t>
      </w:r>
    </w:p>
    <w:p>
      <w:pPr>
        <w:pStyle w:val="44"/>
        <w:keepNext w:val="0"/>
        <w:keepLines w:val="0"/>
        <w:pageBreakBefore w:val="0"/>
        <w:widowControl/>
        <w:numPr>
          <w:ilvl w:val="1"/>
          <w:numId w:val="0"/>
        </w:numPr>
        <w:kinsoku/>
        <w:wordWrap/>
        <w:overflowPunct/>
        <w:topLinePunct w:val="0"/>
        <w:autoSpaceDE/>
        <w:autoSpaceDN/>
        <w:bidi w:val="0"/>
        <w:adjustRightInd/>
        <w:snapToGrid/>
        <w:spacing w:beforeLines="0" w:afterLines="0"/>
        <w:ind w:leftChars="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8.6</w:t>
      </w:r>
      <w:r>
        <w:rPr>
          <w:rFonts w:hint="eastAsia" w:asciiTheme="minorEastAsia" w:hAnsiTheme="minorEastAsia" w:eastAsiaTheme="minorEastAsia" w:cstheme="minorEastAsia"/>
          <w:highlight w:val="none"/>
          <w:lang w:val="en-US" w:eastAsia="zh-CN"/>
        </w:rPr>
        <w:t>需建立水、电、消防等方面的应急管理预案。</w:t>
      </w:r>
    </w:p>
    <w:p>
      <w:pPr>
        <w:pStyle w:val="44"/>
        <w:numPr>
          <w:ilvl w:val="1"/>
          <w:numId w:val="0"/>
        </w:numPr>
        <w:spacing w:before="156" w:after="156"/>
        <w:ind w:leftChars="0"/>
        <w:rPr>
          <w:rFonts w:hint="eastAsia"/>
          <w:lang w:val="en-US" w:eastAsia="zh-CN"/>
        </w:rPr>
      </w:pPr>
      <w:r>
        <w:rPr>
          <w:rFonts w:hint="eastAsia"/>
          <w:lang w:val="en-US" w:eastAsia="zh-CN"/>
        </w:rPr>
        <w:t>9  育种要求</w:t>
      </w:r>
    </w:p>
    <w:p>
      <w:pPr>
        <w:rPr>
          <w:rFonts w:hint="default" w:hAnsi="宋体" w:eastAsia="宋体" w:cs="宋体"/>
          <w:lang w:val="en-US" w:eastAsia="zh-CN"/>
        </w:rPr>
      </w:pPr>
      <w:r>
        <w:rPr>
          <w:rFonts w:hint="eastAsia" w:hAnsi="宋体" w:cs="宋体"/>
          <w:lang w:val="en-US" w:eastAsia="zh-CN"/>
        </w:rPr>
        <w:t>9.1持续开展选种选配，使用官方发布的公牛冻精。</w:t>
      </w:r>
    </w:p>
    <w:p>
      <w:pPr>
        <w:rPr>
          <w:rFonts w:hint="eastAsia" w:ascii="宋体" w:hAnsi="宋体" w:eastAsia="宋体" w:cs="宋体"/>
          <w:szCs w:val="21"/>
          <w:lang w:val="en-US" w:eastAsia="zh-CN"/>
        </w:rPr>
      </w:pPr>
      <w:r>
        <w:rPr>
          <w:rFonts w:hint="eastAsia" w:ascii="宋体" w:hAnsi="宋体" w:cs="宋体"/>
          <w:szCs w:val="21"/>
          <w:lang w:val="en-US" w:eastAsia="zh-CN"/>
        </w:rPr>
        <w:t>9.2育种规划</w:t>
      </w:r>
      <w:r>
        <w:rPr>
          <w:rFonts w:hint="eastAsia" w:ascii="宋体" w:hAnsi="宋体" w:eastAsia="宋体" w:cs="宋体"/>
          <w:szCs w:val="21"/>
          <w:lang w:val="en-US" w:eastAsia="zh-CN"/>
        </w:rPr>
        <w:t>和年度牛群选种选配方案已经执行2年以上</w:t>
      </w:r>
      <w:r>
        <w:rPr>
          <w:rFonts w:hint="eastAsia" w:ascii="宋体" w:hAnsi="宋体" w:cs="宋体"/>
          <w:szCs w:val="21"/>
          <w:lang w:val="en-US" w:eastAsia="zh-CN"/>
        </w:rPr>
        <w:t>，</w:t>
      </w:r>
      <w:r>
        <w:rPr>
          <w:rFonts w:hint="eastAsia" w:ascii="宋体" w:hAnsi="宋体" w:eastAsia="宋体" w:cs="宋体"/>
          <w:szCs w:val="21"/>
          <w:lang w:val="en-US" w:eastAsia="zh-CN"/>
        </w:rPr>
        <w:t>有年度牛群选育工作总结。</w:t>
      </w:r>
    </w:p>
    <w:p>
      <w:pPr>
        <w:pStyle w:val="10"/>
        <w:rPr>
          <w:rFonts w:hint="eastAsia" w:hAnsi="宋体" w:eastAsia="宋体" w:cs="宋体"/>
        </w:rPr>
      </w:pPr>
      <w:r>
        <w:rPr>
          <w:rFonts w:hint="eastAsia" w:hAnsi="宋体" w:cs="宋体"/>
          <w:lang w:val="en-US" w:eastAsia="zh-CN"/>
        </w:rPr>
        <w:t>9.3</w:t>
      </w:r>
      <w:r>
        <w:rPr>
          <w:rFonts w:hint="eastAsia" w:hAnsi="宋体" w:cs="宋体"/>
          <w:lang w:eastAsia="zh-CN"/>
        </w:rPr>
        <w:t>育种管理应</w:t>
      </w:r>
      <w:r>
        <w:rPr>
          <w:rFonts w:hint="eastAsia" w:hAnsi="宋体" w:eastAsia="宋体" w:cs="宋体"/>
        </w:rPr>
        <w:t>符合品种标准要求，三代</w:t>
      </w:r>
      <w:r>
        <w:rPr>
          <w:rFonts w:hint="eastAsia" w:hAnsi="宋体" w:cs="宋体"/>
          <w:lang w:eastAsia="zh-CN"/>
        </w:rPr>
        <w:t>及</w:t>
      </w:r>
      <w:r>
        <w:rPr>
          <w:rFonts w:hint="eastAsia" w:hAnsi="宋体" w:eastAsia="宋体" w:cs="宋体"/>
        </w:rPr>
        <w:t>以上系谱档案准确</w:t>
      </w:r>
      <w:r>
        <w:rPr>
          <w:rFonts w:hint="eastAsia" w:hAnsi="宋体" w:cs="宋体"/>
          <w:lang w:eastAsia="zh-CN"/>
        </w:rPr>
        <w:t>且完整率达到</w:t>
      </w:r>
      <w:r>
        <w:rPr>
          <w:rFonts w:hint="eastAsia"/>
          <w:highlight w:val="none"/>
          <w:lang w:val="en-US" w:eastAsia="zh-CN"/>
        </w:rPr>
        <w:t>40</w:t>
      </w:r>
      <w:r>
        <w:rPr>
          <w:rFonts w:hint="eastAsia"/>
          <w:lang w:val="en-US" w:eastAsia="zh-CN"/>
        </w:rPr>
        <w:t>%，两代系谱准确完整率达到</w:t>
      </w:r>
      <w:r>
        <w:rPr>
          <w:rFonts w:hint="eastAsia"/>
          <w:highlight w:val="none"/>
          <w:lang w:val="en-US" w:eastAsia="zh-CN"/>
        </w:rPr>
        <w:t>60%。</w:t>
      </w:r>
    </w:p>
    <w:p>
      <w:pPr>
        <w:rPr>
          <w:rFonts w:hint="default" w:ascii="宋体" w:hAnsi="宋体" w:eastAsia="宋体" w:cs="宋体"/>
          <w:color w:val="FF0000"/>
          <w:szCs w:val="21"/>
          <w:lang w:val="en-US" w:eastAsia="zh-CN"/>
        </w:rPr>
      </w:pPr>
      <w:r>
        <w:rPr>
          <w:rFonts w:hint="eastAsia" w:ascii="宋体" w:hAnsi="宋体" w:cs="宋体"/>
          <w:szCs w:val="21"/>
          <w:lang w:val="en-US" w:eastAsia="zh-CN"/>
        </w:rPr>
        <w:t>9.4</w:t>
      </w:r>
      <w:r>
        <w:rPr>
          <w:rFonts w:hint="eastAsia" w:ascii="宋体" w:hAnsi="宋体" w:eastAsia="宋体" w:cs="宋体"/>
          <w:szCs w:val="21"/>
          <w:lang w:val="en-US" w:eastAsia="zh-CN"/>
        </w:rPr>
        <w:t>有完整准确的生产记录体系</w:t>
      </w:r>
      <w:r>
        <w:rPr>
          <w:rFonts w:hint="eastAsia" w:ascii="宋体" w:hAnsi="宋体" w:cs="宋体"/>
          <w:szCs w:val="21"/>
          <w:lang w:val="en-US" w:eastAsia="zh-CN"/>
        </w:rPr>
        <w:t>。</w:t>
      </w:r>
    </w:p>
    <w:p>
      <w:pPr>
        <w:rPr>
          <w:rFonts w:hint="eastAsia" w:ascii="宋体" w:hAnsi="宋体" w:eastAsia="宋体" w:cs="宋体"/>
          <w:szCs w:val="21"/>
          <w:lang w:val="en-US" w:eastAsia="zh-CN"/>
        </w:rPr>
      </w:pPr>
      <w:r>
        <w:rPr>
          <w:rFonts w:hint="eastAsia" w:ascii="宋体" w:hAnsi="宋体" w:cs="宋体"/>
          <w:szCs w:val="21"/>
          <w:lang w:val="en-US" w:eastAsia="zh-CN"/>
        </w:rPr>
        <w:t>9.5奶牛生产性能</w:t>
      </w:r>
      <w:r>
        <w:rPr>
          <w:rFonts w:hint="eastAsia" w:ascii="宋体" w:hAnsi="宋体" w:eastAsia="宋体" w:cs="宋体"/>
          <w:szCs w:val="21"/>
          <w:lang w:val="en-US" w:eastAsia="zh-CN"/>
        </w:rPr>
        <w:t>测定数据质量合格率达到85%；头胎牛</w:t>
      </w:r>
      <w:r>
        <w:rPr>
          <w:rFonts w:hint="eastAsia" w:ascii="宋体" w:hAnsi="宋体" w:cs="宋体"/>
          <w:szCs w:val="21"/>
          <w:lang w:val="en-US" w:eastAsia="zh-CN"/>
        </w:rPr>
        <w:t>开展</w:t>
      </w:r>
      <w:r>
        <w:rPr>
          <w:rFonts w:hint="eastAsia" w:ascii="宋体" w:hAnsi="宋体" w:eastAsia="宋体" w:cs="宋体"/>
          <w:szCs w:val="21"/>
          <w:lang w:val="en-US" w:eastAsia="zh-CN"/>
        </w:rPr>
        <w:t>体型鉴定</w:t>
      </w:r>
      <w:r>
        <w:rPr>
          <w:rFonts w:hint="eastAsia" w:ascii="宋体" w:hAnsi="宋体" w:cs="宋体"/>
          <w:szCs w:val="21"/>
          <w:lang w:val="en-US" w:eastAsia="zh-CN"/>
        </w:rPr>
        <w:t>工作</w:t>
      </w:r>
      <w:bookmarkStart w:id="21" w:name="_GoBack"/>
      <w:bookmarkEnd w:id="21"/>
      <w:r>
        <w:rPr>
          <w:rFonts w:hint="eastAsia" w:ascii="宋体" w:hAnsi="宋体" w:eastAsia="宋体" w:cs="宋体"/>
          <w:szCs w:val="21"/>
          <w:lang w:val="en-US" w:eastAsia="zh-CN"/>
        </w:rPr>
        <w:t>2年以上</w:t>
      </w:r>
      <w:r>
        <w:rPr>
          <w:rFonts w:hint="eastAsia" w:ascii="宋体" w:hAnsi="宋体" w:cs="宋体"/>
          <w:szCs w:val="21"/>
          <w:lang w:val="en-US" w:eastAsia="zh-CN"/>
        </w:rPr>
        <w:t>；</w:t>
      </w:r>
      <w:r>
        <w:rPr>
          <w:rFonts w:hint="eastAsia" w:ascii="宋体" w:hAnsi="宋体" w:eastAsia="宋体" w:cs="宋体"/>
          <w:szCs w:val="21"/>
          <w:lang w:val="en-US" w:eastAsia="zh-CN"/>
        </w:rPr>
        <w:t>有年度参测情况及牛群状况分析总结。</w:t>
      </w:r>
    </w:p>
    <w:p>
      <w:pPr>
        <w:rPr>
          <w:rFonts w:hint="default" w:ascii="宋体" w:hAnsi="宋体" w:eastAsia="宋体" w:cs="宋体"/>
          <w:szCs w:val="21"/>
          <w:lang w:val="en-US" w:eastAsia="zh-CN"/>
        </w:rPr>
      </w:pPr>
      <w:r>
        <w:rPr>
          <w:rFonts w:hint="eastAsia" w:ascii="宋体" w:hAnsi="宋体" w:cs="宋体"/>
          <w:szCs w:val="21"/>
          <w:lang w:val="en-US" w:eastAsia="zh-CN"/>
        </w:rPr>
        <w:t>9.6奶牛核心群有2年以上可查的在场牛只育种记录。</w:t>
      </w:r>
    </w:p>
    <w:p>
      <w:pPr>
        <w:pStyle w:val="44"/>
        <w:keepNext w:val="0"/>
        <w:keepLines w:val="0"/>
        <w:pageBreakBefore w:val="0"/>
        <w:widowControl/>
        <w:numPr>
          <w:ilvl w:val="1"/>
          <w:numId w:val="0"/>
        </w:numPr>
        <w:kinsoku/>
        <w:wordWrap/>
        <w:overflowPunct/>
        <w:topLinePunct w:val="0"/>
        <w:autoSpaceDE/>
        <w:autoSpaceDN/>
        <w:bidi w:val="0"/>
        <w:adjustRightInd/>
        <w:snapToGrid/>
        <w:spacing w:before="156" w:after="156"/>
        <w:ind w:leftChars="0"/>
        <w:textAlignment w:val="auto"/>
        <w:rPr>
          <w:rFonts w:hint="eastAsia"/>
          <w:lang w:val="en-US" w:eastAsia="zh-CN"/>
        </w:rPr>
      </w:pPr>
      <w:r>
        <w:rPr>
          <w:rFonts w:hint="eastAsia"/>
          <w:lang w:val="en-US" w:eastAsia="zh-CN"/>
        </w:rPr>
        <w:t xml:space="preserve">10废弃物、病死畜无害化处理 </w:t>
      </w:r>
    </w:p>
    <w:p>
      <w:pPr>
        <w:pStyle w:val="25"/>
        <w:ind w:left="0" w:leftChars="0" w:firstLine="0" w:firstLineChars="0"/>
        <w:rPr>
          <w:rFonts w:hint="eastAsia"/>
          <w:lang w:val="en-US" w:eastAsia="zh-CN"/>
        </w:rPr>
      </w:pPr>
      <w:r>
        <w:rPr>
          <w:rFonts w:hint="eastAsia"/>
          <w:lang w:val="en-US" w:eastAsia="zh-CN"/>
        </w:rPr>
        <w:t>10.1建有医疗垃圾、生产中的一次性耗材等废弃物处理设施，废弃物处理遵循减量化、无害化和资源化的原则，其排放应符合GB 18596的规定。</w:t>
      </w:r>
    </w:p>
    <w:p>
      <w:pPr>
        <w:pStyle w:val="25"/>
        <w:ind w:left="0" w:leftChars="0" w:firstLine="0" w:firstLineChars="0"/>
        <w:rPr>
          <w:rFonts w:hint="eastAsia" w:ascii="宋体" w:eastAsia="宋体"/>
          <w:lang w:val="en-US" w:eastAsia="zh-CN"/>
        </w:rPr>
      </w:pPr>
      <w:r>
        <w:rPr>
          <w:rFonts w:hint="eastAsia"/>
          <w:lang w:val="en-US" w:eastAsia="zh-CN"/>
        </w:rPr>
        <w:t>10.2奶牛场应在生产区的下风口设立贮粪场，方便及时清理牛舍内和运动场垫料、粪便、污水等</w:t>
      </w:r>
      <w:r>
        <w:rPr>
          <w:rFonts w:hint="eastAsia" w:ascii="宋体" w:eastAsia="宋体"/>
          <w:lang w:val="en-US" w:eastAsia="zh-CN"/>
        </w:rPr>
        <w:t>。</w:t>
      </w:r>
    </w:p>
    <w:p>
      <w:pPr>
        <w:pStyle w:val="25"/>
        <w:ind w:left="0" w:leftChars="0" w:firstLine="0" w:firstLineChars="0"/>
        <w:rPr>
          <w:rFonts w:hint="eastAsia"/>
          <w:lang w:val="en-US" w:eastAsia="zh-CN"/>
        </w:rPr>
      </w:pPr>
      <w:r>
        <w:rPr>
          <w:rFonts w:hint="eastAsia"/>
          <w:lang w:val="en-US" w:eastAsia="zh-CN"/>
        </w:rPr>
        <w:t>10.3病死牛及产品处理按照</w:t>
      </w:r>
      <w:r>
        <w:rPr>
          <w:rFonts w:hint="eastAsia"/>
          <w:color w:val="000000" w:themeColor="text1"/>
          <w14:textFill>
            <w14:solidFill>
              <w14:schemeClr w14:val="tx1"/>
            </w14:solidFill>
          </w14:textFill>
        </w:rPr>
        <w:t>GB 16548和</w:t>
      </w:r>
      <w:r>
        <w:rPr>
          <w:rFonts w:hint="eastAsia"/>
          <w:lang w:val="en-US" w:eastAsia="zh-CN"/>
        </w:rPr>
        <w:t>农业部《病死及病害动物无害化处理技术规范》的规定执行。</w:t>
      </w:r>
    </w:p>
    <w:p>
      <w:pPr>
        <w:pStyle w:val="25"/>
        <w:ind w:left="0" w:leftChars="0" w:firstLine="0" w:firstLineChars="0"/>
        <w:rPr>
          <w:rFonts w:hint="eastAsia"/>
          <w:lang w:val="en-US" w:eastAsia="zh-CN"/>
        </w:rPr>
      </w:pPr>
    </w:p>
    <w:p>
      <w:pPr>
        <w:pStyle w:val="25"/>
        <w:ind w:left="0" w:leftChars="0" w:firstLine="0" w:firstLineChars="0"/>
        <w:rPr>
          <w:rFonts w:hint="eastAsia"/>
          <w:lang w:val="en-US" w:eastAsia="zh-CN"/>
        </w:rPr>
      </w:pPr>
    </w:p>
    <w:p>
      <w:pPr>
        <w:pStyle w:val="25"/>
        <w:ind w:left="0" w:leftChars="0" w:firstLine="0" w:firstLineChars="0"/>
        <w:rPr>
          <w:rFonts w:hint="eastAsia"/>
          <w:lang w:val="en-US" w:eastAsia="zh-CN"/>
        </w:rPr>
      </w:pPr>
    </w:p>
    <w:p>
      <w:pPr>
        <w:pStyle w:val="25"/>
        <w:ind w:left="0" w:leftChars="0" w:firstLine="0" w:firstLineChars="0"/>
        <w:rPr>
          <w:rFonts w:hint="eastAsia"/>
          <w:u w:val="single"/>
          <w:lang w:val="en-US" w:eastAsia="zh-CN"/>
        </w:rPr>
      </w:pPr>
      <w:r>
        <w:rPr>
          <w:rFonts w:hint="eastAsia"/>
          <w:u w:val="single"/>
          <w:lang w:val="en-US" w:eastAsia="zh-CN"/>
        </w:rPr>
        <w:t xml:space="preserve">                                                                          </w:t>
      </w:r>
    </w:p>
    <w:p>
      <w:pPr>
        <w:pStyle w:val="25"/>
        <w:ind w:left="0" w:leftChars="0" w:firstLine="0" w:firstLineChars="0"/>
        <w:rPr>
          <w:rFonts w:hint="eastAsia"/>
          <w:u w:val="singl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p>
    <w:p>
      <w:pPr>
        <w:pStyle w:val="25"/>
        <w:ind w:left="0" w:leftChars="0" w:firstLine="0" w:firstLineChars="0"/>
        <w:jc w:val="center"/>
        <w:rPr>
          <w:rFonts w:hint="eastAsia"/>
          <w:u w:val="none"/>
          <w:lang w:val="en-US" w:eastAsia="zh-CN"/>
        </w:rPr>
      </w:pPr>
      <w:r>
        <w:rPr>
          <w:rFonts w:hint="eastAsia"/>
          <w:u w:val="none"/>
          <w:lang w:val="en-US" w:eastAsia="zh-CN"/>
        </w:rPr>
        <w:t>附录A</w:t>
      </w:r>
    </w:p>
    <w:p>
      <w:pPr>
        <w:pStyle w:val="25"/>
        <w:ind w:left="0" w:leftChars="0" w:firstLine="0" w:firstLineChars="0"/>
        <w:jc w:val="center"/>
        <w:rPr>
          <w:rFonts w:hint="eastAsia"/>
          <w:u w:val="none"/>
          <w:lang w:val="en-US" w:eastAsia="zh-CN"/>
        </w:rPr>
      </w:pPr>
      <w:r>
        <w:rPr>
          <w:rFonts w:hint="eastAsia"/>
          <w:u w:val="none"/>
          <w:lang w:val="en-US" w:eastAsia="zh-CN"/>
        </w:rPr>
        <w:t>（资料性附录）</w:t>
      </w:r>
    </w:p>
    <w:p>
      <w:pPr>
        <w:pStyle w:val="25"/>
        <w:ind w:left="0" w:leftChars="0" w:firstLine="0" w:firstLineChars="0"/>
        <w:jc w:val="center"/>
        <w:rPr>
          <w:rFonts w:hint="eastAsia"/>
          <w:u w:val="none"/>
          <w:lang w:val="en-US" w:eastAsia="zh-CN"/>
        </w:rPr>
      </w:pPr>
      <w:r>
        <w:rPr>
          <w:rFonts w:hint="eastAsia"/>
          <w:u w:val="none"/>
          <w:lang w:val="en-US" w:eastAsia="zh-CN"/>
        </w:rPr>
        <w:t>奶牛场智能化管理系统</w:t>
      </w:r>
    </w:p>
    <w:p>
      <w:pPr>
        <w:pStyle w:val="25"/>
        <w:keepNext w:val="0"/>
        <w:keepLines w:val="0"/>
        <w:pageBreakBefore w:val="0"/>
        <w:kinsoku/>
        <w:wordWrap/>
        <w:overflowPunct/>
        <w:topLinePunct w:val="0"/>
        <w:bidi w:val="0"/>
        <w:adjustRightInd/>
        <w:snapToGrid/>
        <w:spacing w:line="360" w:lineRule="auto"/>
        <w:ind w:left="0" w:leftChars="0" w:firstLine="0" w:firstLineChars="0"/>
        <w:textAlignment w:val="auto"/>
        <w:rPr>
          <w:rFonts w:hint="eastAsia"/>
          <w:color w:val="auto"/>
          <w:lang w:val="en-US" w:eastAsia="zh-CN"/>
        </w:rPr>
      </w:pPr>
      <w:r>
        <w:rPr>
          <w:rFonts w:hint="eastAsia"/>
          <w:color w:val="auto"/>
          <w:lang w:val="en-US" w:eastAsia="zh-CN"/>
        </w:rPr>
        <w:t>A.1使用牧场信息化管理软件</w:t>
      </w:r>
    </w:p>
    <w:p>
      <w:pPr>
        <w:pStyle w:val="25"/>
        <w:keepNext w:val="0"/>
        <w:keepLines w:val="0"/>
        <w:pageBreakBefore w:val="0"/>
        <w:kinsoku/>
        <w:wordWrap/>
        <w:overflowPunct/>
        <w:topLinePunct w:val="0"/>
        <w:bidi w:val="0"/>
        <w:adjustRightInd/>
        <w:snapToGrid/>
        <w:spacing w:line="360" w:lineRule="auto"/>
        <w:ind w:left="0" w:leftChars="0" w:firstLine="0" w:firstLineChars="0"/>
        <w:textAlignment w:val="auto"/>
        <w:rPr>
          <w:rFonts w:hint="eastAsia"/>
          <w:color w:val="auto"/>
          <w:lang w:val="en-US" w:eastAsia="zh-CN"/>
        </w:rPr>
      </w:pPr>
      <w:r>
        <w:rPr>
          <w:rFonts w:hint="eastAsia"/>
          <w:color w:val="auto"/>
          <w:lang w:val="en-US" w:eastAsia="zh-CN"/>
        </w:rPr>
        <w:t>A.2挤奶设备具有牛号自动识别、自动计量管理和真空、脉动监测系统。</w:t>
      </w:r>
    </w:p>
    <w:p>
      <w:pPr>
        <w:pStyle w:val="25"/>
        <w:keepNext w:val="0"/>
        <w:keepLines w:val="0"/>
        <w:pageBreakBefore w:val="0"/>
        <w:kinsoku/>
        <w:wordWrap/>
        <w:overflowPunct/>
        <w:topLinePunct w:val="0"/>
        <w:bidi w:val="0"/>
        <w:adjustRightInd/>
        <w:snapToGrid/>
        <w:spacing w:line="360" w:lineRule="auto"/>
        <w:ind w:left="0" w:leftChars="0" w:firstLine="0" w:firstLineChars="0"/>
        <w:textAlignment w:val="auto"/>
        <w:rPr>
          <w:rFonts w:hint="eastAsia"/>
          <w:color w:val="auto"/>
          <w:lang w:val="en-US" w:eastAsia="zh-CN"/>
        </w:rPr>
      </w:pPr>
      <w:r>
        <w:rPr>
          <w:rFonts w:hint="eastAsia"/>
          <w:color w:val="auto"/>
          <w:lang w:val="en-US" w:eastAsia="zh-CN"/>
        </w:rPr>
        <w:t>A.3具备精准饲喂系统，能够监控TMR制作精准度、投喂准确度、饲料使用清单。</w:t>
      </w:r>
    </w:p>
    <w:p>
      <w:pPr>
        <w:pStyle w:val="25"/>
        <w:keepNext w:val="0"/>
        <w:keepLines w:val="0"/>
        <w:pageBreakBefore w:val="0"/>
        <w:kinsoku/>
        <w:wordWrap/>
        <w:overflowPunct/>
        <w:topLinePunct w:val="0"/>
        <w:bidi w:val="0"/>
        <w:adjustRightInd/>
        <w:snapToGrid/>
        <w:spacing w:line="360" w:lineRule="auto"/>
        <w:ind w:left="0" w:leftChars="0" w:firstLine="0" w:firstLineChars="0"/>
        <w:textAlignment w:val="auto"/>
        <w:rPr>
          <w:rFonts w:hint="eastAsia"/>
          <w:color w:val="auto"/>
          <w:lang w:val="en-US" w:eastAsia="zh-CN"/>
        </w:rPr>
      </w:pPr>
      <w:r>
        <w:rPr>
          <w:rFonts w:hint="eastAsia"/>
          <w:color w:val="auto"/>
          <w:lang w:val="en-US" w:eastAsia="zh-CN"/>
        </w:rPr>
        <w:t>A.4具备奶牛发情检测系统，配备计步器、电子耳标等智能穿戴设备。</w:t>
      </w:r>
    </w:p>
    <w:p>
      <w:pPr>
        <w:keepNext w:val="0"/>
        <w:keepLines w:val="0"/>
        <w:pageBreakBefore w:val="0"/>
        <w:kinsoku/>
        <w:wordWrap/>
        <w:overflowPunct/>
        <w:topLinePunct w:val="0"/>
        <w:bidi w:val="0"/>
        <w:adjustRightInd/>
        <w:snapToGrid/>
        <w:spacing w:line="360" w:lineRule="auto"/>
        <w:textAlignment w:val="auto"/>
        <w:rPr>
          <w:rFonts w:hint="eastAsia"/>
          <w:color w:val="auto"/>
          <w:lang w:val="en-US" w:eastAsia="zh-CN"/>
        </w:rPr>
      </w:pPr>
      <w:r>
        <w:rPr>
          <w:rFonts w:hint="eastAsia"/>
          <w:color w:val="auto"/>
          <w:lang w:val="en-US" w:eastAsia="zh-CN"/>
        </w:rPr>
        <w:t>A.5具备环境监测系统，包括温湿度、氨气、风速等物联网终端。牛舍、待挤区、奶厅配备喷淋、风扇设备，具有温控系统，可自动调节温湿度，能够满足奶牛夏季防暑降温需求，坝上地区冬季备有防风保暖设备。</w:t>
      </w:r>
    </w:p>
    <w:p>
      <w:pPr>
        <w:keepNext w:val="0"/>
        <w:keepLines w:val="0"/>
        <w:pageBreakBefore w:val="0"/>
        <w:kinsoku/>
        <w:wordWrap/>
        <w:overflowPunct/>
        <w:topLinePunct w:val="0"/>
        <w:bidi w:val="0"/>
        <w:adjustRightInd/>
        <w:snapToGrid/>
        <w:spacing w:line="360" w:lineRule="auto"/>
        <w:textAlignment w:val="auto"/>
        <w:rPr>
          <w:rFonts w:hint="eastAsia"/>
          <w:color w:val="auto"/>
          <w:lang w:val="en-US" w:eastAsia="zh-CN"/>
        </w:rPr>
      </w:pPr>
      <w:r>
        <w:rPr>
          <w:rFonts w:hint="eastAsia"/>
          <w:color w:val="auto"/>
          <w:lang w:val="en-US" w:eastAsia="zh-CN"/>
        </w:rPr>
        <w:t>A.6使用自动分群门。</w:t>
      </w:r>
    </w:p>
    <w:p>
      <w:pPr>
        <w:keepNext w:val="0"/>
        <w:keepLines w:val="0"/>
        <w:pageBreakBefore w:val="0"/>
        <w:kinsoku/>
        <w:wordWrap/>
        <w:overflowPunct/>
        <w:topLinePunct w:val="0"/>
        <w:bidi w:val="0"/>
        <w:adjustRightInd/>
        <w:snapToGrid/>
        <w:spacing w:line="360" w:lineRule="auto"/>
        <w:textAlignment w:val="auto"/>
        <w:rPr>
          <w:rFonts w:hint="eastAsia"/>
          <w:color w:val="auto"/>
          <w:lang w:val="en-US" w:eastAsia="zh-CN"/>
        </w:rPr>
      </w:pPr>
      <w:r>
        <w:rPr>
          <w:rFonts w:hint="eastAsia"/>
          <w:color w:val="auto"/>
          <w:lang w:val="en-US" w:eastAsia="zh-CN"/>
        </w:rPr>
        <w:t>A.7挤奶设备具有自动清洗功能，CIP数据采集，能够对清洗管道和奶罐过程中的水温、</w:t>
      </w:r>
      <w:r>
        <w:rPr>
          <w:rFonts w:hint="eastAsia" w:asciiTheme="minorEastAsia" w:hAnsiTheme="minorEastAsia"/>
          <w:sz w:val="24"/>
          <w:szCs w:val="24"/>
        </w:rPr>
        <w:t>pH</w:t>
      </w:r>
      <w:r>
        <w:rPr>
          <w:rFonts w:hint="eastAsia"/>
          <w:color w:val="auto"/>
          <w:lang w:val="en-US" w:eastAsia="zh-CN"/>
        </w:rPr>
        <w:t>值、压力进行监控，保证清洗程序准确进行。</w:t>
      </w:r>
    </w:p>
    <w:p>
      <w:pPr>
        <w:keepNext w:val="0"/>
        <w:keepLines w:val="0"/>
        <w:pageBreakBefore w:val="0"/>
        <w:kinsoku/>
        <w:wordWrap/>
        <w:overflowPunct/>
        <w:topLinePunct w:val="0"/>
        <w:bidi w:val="0"/>
        <w:adjustRightInd/>
        <w:snapToGrid/>
        <w:spacing w:line="360" w:lineRule="auto"/>
        <w:textAlignment w:val="auto"/>
        <w:rPr>
          <w:rFonts w:hint="eastAsia"/>
          <w:color w:val="auto"/>
          <w:lang w:val="en-US" w:eastAsia="zh-CN"/>
        </w:rPr>
      </w:pPr>
      <w:r>
        <w:rPr>
          <w:rFonts w:hint="eastAsia"/>
          <w:color w:val="auto"/>
          <w:lang w:val="en-US" w:eastAsia="zh-CN"/>
        </w:rPr>
        <w:t>A.8具有视频监控设备，至少覆盖奶牛场主要场区，保存期限不少于15</w:t>
      </w:r>
      <w:r>
        <w:rPr>
          <w:rFonts w:hint="default"/>
          <w:color w:val="auto"/>
          <w:lang w:val="en" w:eastAsia="zh-CN"/>
        </w:rPr>
        <w:t>d</w:t>
      </w:r>
      <w:r>
        <w:rPr>
          <w:rFonts w:hint="eastAsia"/>
          <w:color w:val="auto"/>
          <w:lang w:val="en-US" w:eastAsia="zh-CN"/>
        </w:rPr>
        <w:t>。</w:t>
      </w:r>
    </w:p>
    <w:p>
      <w:pPr>
        <w:keepNext w:val="0"/>
        <w:keepLines w:val="0"/>
        <w:pageBreakBefore w:val="0"/>
        <w:kinsoku/>
        <w:wordWrap/>
        <w:overflowPunct/>
        <w:topLinePunct w:val="0"/>
        <w:bidi w:val="0"/>
        <w:adjustRightInd/>
        <w:snapToGrid/>
        <w:spacing w:line="360" w:lineRule="auto"/>
        <w:textAlignment w:val="auto"/>
        <w:rPr>
          <w:rFonts w:hint="default" w:eastAsia="宋体"/>
          <w:color w:val="FF0000"/>
          <w:lang w:val="en-US" w:eastAsia="zh-CN"/>
        </w:rPr>
      </w:pPr>
      <w:r>
        <w:rPr>
          <w:rFonts w:hint="eastAsia"/>
          <w:color w:val="auto"/>
          <w:lang w:val="en-US" w:eastAsia="zh-CN"/>
        </w:rPr>
        <w:t>A.9</w:t>
      </w:r>
      <w:r>
        <w:rPr>
          <w:rFonts w:hint="eastAsia" w:eastAsia="宋体"/>
          <w:color w:val="auto"/>
          <w:lang w:val="en-US" w:eastAsia="zh-CN"/>
        </w:rPr>
        <w:t>须建立智能化管理系统软硬件的定期检测和维护制度，确保各种数据收集、传输、分析、显示等准确无误。</w:t>
      </w:r>
    </w:p>
    <w:p>
      <w:pPr>
        <w:pStyle w:val="25"/>
        <w:ind w:left="0" w:leftChars="0" w:firstLine="0" w:firstLineChars="0"/>
        <w:rPr>
          <w:rFonts w:hint="eastAsia"/>
          <w:u w:val="none"/>
          <w:lang w:val="en-US" w:eastAsia="zh-CN"/>
        </w:rPr>
      </w:pPr>
    </w:p>
    <w:p>
      <w:pPr>
        <w:pStyle w:val="25"/>
        <w:ind w:left="0" w:leftChars="0" w:firstLine="0" w:firstLineChars="0"/>
        <w:rPr>
          <w:rFonts w:hint="default"/>
          <w:u w:val="single"/>
          <w:lang w:val="en-US" w:eastAsia="zh-CN"/>
        </w:rPr>
      </w:pPr>
    </w:p>
    <w:sectPr>
      <w:headerReference r:id="rId5" w:type="default"/>
      <w:footerReference r:id="rId6"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0000019F" w:csb1="00000000"/>
  </w:font>
  <w:font w:name="Calibri Light">
    <w:altName w:val="DejaVu Sans"/>
    <w:panose1 w:val="020F0302020204030204"/>
    <w:charset w:val="00"/>
    <w:family w:val="swiss"/>
    <w:pitch w:val="default"/>
    <w:sig w:usb0="00000000" w:usb1="00000000" w:usb2="00000000"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fldChar w:fldCharType="begin"/>
    </w:r>
    <w:r>
      <w:instrText xml:space="preserve"> PAGE  \* MERGEFORMAT </w:instrText>
    </w:r>
    <w:r>
      <w:fldChar w:fldCharType="separate"/>
    </w:r>
    <w: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t>DB13/TXXXX—XXXX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60"/>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8"/>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4"/>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1"/>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3"/>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61"/>
      <w:lvlText w:val="%1)"/>
      <w:lvlJc w:val="left"/>
      <w:pPr>
        <w:tabs>
          <w:tab w:val="left" w:pos="840"/>
        </w:tabs>
        <w:ind w:left="839" w:hanging="419"/>
      </w:pPr>
      <w:rPr>
        <w:rFonts w:hint="eastAsia"/>
        <w:b w:val="0"/>
        <w:i w:val="0"/>
        <w:sz w:val="21"/>
        <w:szCs w:val="21"/>
      </w:rPr>
    </w:lvl>
    <w:lvl w:ilvl="1" w:tentative="0">
      <w:start w:val="1"/>
      <w:numFmt w:val="decimal"/>
      <w:pStyle w:val="56"/>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22827D5B"/>
    <w:multiLevelType w:val="multilevel"/>
    <w:tmpl w:val="22827D5B"/>
    <w:lvl w:ilvl="0" w:tentative="0">
      <w:start w:val="1"/>
      <w:numFmt w:val="none"/>
      <w:pStyle w:val="66"/>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7">
    <w:nsid w:val="2A8F7113"/>
    <w:multiLevelType w:val="multilevel"/>
    <w:tmpl w:val="2A8F7113"/>
    <w:lvl w:ilvl="0" w:tentative="0">
      <w:start w:val="1"/>
      <w:numFmt w:val="upperLetter"/>
      <w:pStyle w:val="100"/>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50"/>
      <w:suff w:val="nothing"/>
      <w:lvlText w:val="%1——"/>
      <w:lvlJc w:val="left"/>
      <w:pPr>
        <w:ind w:left="833" w:hanging="408"/>
      </w:pPr>
      <w:rPr>
        <w:rFonts w:hint="eastAsia"/>
      </w:rPr>
    </w:lvl>
    <w:lvl w:ilvl="1" w:tentative="0">
      <w:start w:val="1"/>
      <w:numFmt w:val="bullet"/>
      <w:pStyle w:val="51"/>
      <w:lvlText w:val=""/>
      <w:lvlJc w:val="left"/>
      <w:pPr>
        <w:tabs>
          <w:tab w:val="left" w:pos="760"/>
        </w:tabs>
        <w:ind w:left="1264" w:hanging="413"/>
      </w:pPr>
      <w:rPr>
        <w:rFonts w:hint="default" w:ascii="Symbol" w:hAnsi="Symbol"/>
        <w:color w:val="auto"/>
      </w:rPr>
    </w:lvl>
    <w:lvl w:ilvl="2" w:tentative="0">
      <w:start w:val="1"/>
      <w:numFmt w:val="bullet"/>
      <w:pStyle w:val="62"/>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6"/>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A93320E"/>
    <w:multiLevelType w:val="multilevel"/>
    <w:tmpl w:val="4A93320E"/>
    <w:lvl w:ilvl="0" w:tentative="0">
      <w:start w:val="1"/>
      <w:numFmt w:val="decimal"/>
      <w:pStyle w:val="47"/>
      <w:suff w:val="space"/>
      <w:lvlText w:val="%1 "/>
      <w:lvlJc w:val="left"/>
      <w:pPr>
        <w:ind w:left="0" w:firstLine="0"/>
      </w:pPr>
      <w:rPr>
        <w:rFonts w:hint="eastAsia" w:eastAsia="黑体"/>
        <w:sz w:val="21"/>
      </w:rPr>
    </w:lvl>
    <w:lvl w:ilvl="1" w:tentative="0">
      <w:start w:val="1"/>
      <w:numFmt w:val="decimal"/>
      <w:pStyle w:val="44"/>
      <w:suff w:val="space"/>
      <w:lvlText w:val="%1.%2 "/>
      <w:lvlJc w:val="left"/>
      <w:pPr>
        <w:ind w:left="0" w:firstLine="0"/>
      </w:pPr>
      <w:rPr>
        <w:rFonts w:hint="eastAsia" w:ascii="黑体" w:hAnsi="黑体" w:eastAsia="黑体"/>
      </w:rPr>
    </w:lvl>
    <w:lvl w:ilvl="2" w:tentative="0">
      <w:start w:val="1"/>
      <w:numFmt w:val="decimal"/>
      <w:pStyle w:val="48"/>
      <w:suff w:val="space"/>
      <w:lvlText w:val="%1.%2.%3 "/>
      <w:lvlJc w:val="left"/>
      <w:pPr>
        <w:ind w:left="0" w:firstLine="0"/>
      </w:pPr>
      <w:rPr>
        <w:rFonts w:hint="default" w:ascii="Times New Roman" w:hAnsi="Times New Roman" w:cs="Times New Roman"/>
        <w:lang w:eastAsia="zh-CN"/>
      </w:rPr>
    </w:lvl>
    <w:lvl w:ilvl="3" w:tentative="0">
      <w:start w:val="1"/>
      <w:numFmt w:val="decimal"/>
      <w:pStyle w:val="53"/>
      <w:suff w:val="space"/>
      <w:lvlText w:val="%1.%2.%3.%4 "/>
      <w:lvlJc w:val="left"/>
      <w:pPr>
        <w:ind w:left="0" w:firstLine="0"/>
      </w:pPr>
      <w:rPr>
        <w:rFonts w:hint="eastAsia"/>
      </w:rPr>
    </w:lvl>
    <w:lvl w:ilvl="4" w:tentative="0">
      <w:start w:val="1"/>
      <w:numFmt w:val="decimal"/>
      <w:pStyle w:val="57"/>
      <w:suff w:val="space"/>
      <w:lvlText w:val="%1.%2.%3.%4.%5 "/>
      <w:lvlJc w:val="left"/>
      <w:pPr>
        <w:ind w:left="0" w:firstLine="0"/>
      </w:pPr>
      <w:rPr>
        <w:rFonts w:hint="eastAsia"/>
      </w:rPr>
    </w:lvl>
    <w:lvl w:ilvl="5" w:tentative="0">
      <w:start w:val="1"/>
      <w:numFmt w:val="decimal"/>
      <w:pStyle w:val="58"/>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1">
    <w:nsid w:val="4B733A5F"/>
    <w:multiLevelType w:val="multilevel"/>
    <w:tmpl w:val="4B733A5F"/>
    <w:lvl w:ilvl="0" w:tentative="0">
      <w:start w:val="1"/>
      <w:numFmt w:val="decimal"/>
      <w:pStyle w:val="64"/>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88"/>
      <w:lvlText w:val="%1"/>
      <w:lvlJc w:val="left"/>
      <w:pPr>
        <w:tabs>
          <w:tab w:val="left" w:pos="0"/>
        </w:tabs>
        <w:ind w:left="0" w:hanging="425"/>
      </w:pPr>
      <w:rPr>
        <w:rFonts w:hint="eastAsia"/>
      </w:rPr>
    </w:lvl>
    <w:lvl w:ilvl="1" w:tentative="0">
      <w:start w:val="1"/>
      <w:numFmt w:val="decimal"/>
      <w:pStyle w:val="89"/>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9"/>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86"/>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4"/>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5"/>
      <w:suff w:val="nothing"/>
      <w:lvlText w:val="%1.%2.%3　"/>
      <w:lvlJc w:val="left"/>
      <w:pPr>
        <w:ind w:left="284" w:firstLine="0"/>
      </w:pPr>
      <w:rPr>
        <w:rFonts w:hint="eastAsia" w:ascii="黑体" w:hAnsi="Times New Roman" w:eastAsia="黑体"/>
        <w:b w:val="0"/>
        <w:i w:val="0"/>
        <w:sz w:val="21"/>
      </w:rPr>
    </w:lvl>
    <w:lvl w:ilvl="3" w:tentative="0">
      <w:start w:val="1"/>
      <w:numFmt w:val="decimal"/>
      <w:pStyle w:val="90"/>
      <w:suff w:val="nothing"/>
      <w:lvlText w:val="%1.%2.%3.%4　"/>
      <w:lvlJc w:val="left"/>
      <w:pPr>
        <w:ind w:left="709" w:firstLine="0"/>
      </w:pPr>
      <w:rPr>
        <w:rFonts w:hint="eastAsia" w:ascii="黑体" w:hAnsi="Times New Roman" w:eastAsia="黑体"/>
        <w:b w:val="0"/>
        <w:i w:val="0"/>
        <w:sz w:val="21"/>
      </w:rPr>
    </w:lvl>
    <w:lvl w:ilvl="4" w:tentative="0">
      <w:start w:val="1"/>
      <w:numFmt w:val="decimal"/>
      <w:pStyle w:val="95"/>
      <w:suff w:val="nothing"/>
      <w:lvlText w:val="%1.%2.%3.%4.%5　"/>
      <w:lvlJc w:val="left"/>
      <w:pPr>
        <w:ind w:left="0" w:firstLine="0"/>
      </w:pPr>
      <w:rPr>
        <w:rFonts w:hint="eastAsia" w:ascii="黑体" w:hAnsi="Times New Roman" w:eastAsia="黑体"/>
        <w:b w:val="0"/>
        <w:i w:val="0"/>
        <w:sz w:val="21"/>
      </w:rPr>
    </w:lvl>
    <w:lvl w:ilvl="5" w:tentative="0">
      <w:start w:val="1"/>
      <w:numFmt w:val="decimal"/>
      <w:pStyle w:val="98"/>
      <w:suff w:val="nothing"/>
      <w:lvlText w:val="%1.%2.%3.%4.%5.%6　"/>
      <w:lvlJc w:val="left"/>
      <w:pPr>
        <w:ind w:left="0" w:firstLine="0"/>
      </w:pPr>
      <w:rPr>
        <w:rFonts w:hint="eastAsia" w:ascii="黑体" w:hAnsi="Times New Roman" w:eastAsia="黑体"/>
        <w:b w:val="0"/>
        <w:i w:val="0"/>
        <w:sz w:val="21"/>
      </w:rPr>
    </w:lvl>
    <w:lvl w:ilvl="6" w:tentative="0">
      <w:start w:val="1"/>
      <w:numFmt w:val="decimal"/>
      <w:pStyle w:val="10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A6D3780"/>
    <w:multiLevelType w:val="multilevel"/>
    <w:tmpl w:val="6A6D3780"/>
    <w:lvl w:ilvl="0" w:tentative="0">
      <w:start w:val="1"/>
      <w:numFmt w:val="decimal"/>
      <w:pStyle w:val="67"/>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6">
    <w:nsid w:val="6D6C07CD"/>
    <w:multiLevelType w:val="multilevel"/>
    <w:tmpl w:val="6D6C07CD"/>
    <w:lvl w:ilvl="0" w:tentative="0">
      <w:start w:val="1"/>
      <w:numFmt w:val="lowerLetter"/>
      <w:pStyle w:val="107"/>
      <w:lvlText w:val="%1)"/>
      <w:lvlJc w:val="left"/>
      <w:pPr>
        <w:tabs>
          <w:tab w:val="left" w:pos="839"/>
        </w:tabs>
        <w:ind w:left="839" w:hanging="419"/>
      </w:pPr>
      <w:rPr>
        <w:rFonts w:hint="eastAsia" w:ascii="宋体" w:eastAsia="宋体"/>
        <w:b w:val="0"/>
        <w:i w:val="0"/>
        <w:sz w:val="21"/>
      </w:rPr>
    </w:lvl>
    <w:lvl w:ilvl="1" w:tentative="0">
      <w:start w:val="1"/>
      <w:numFmt w:val="decimal"/>
      <w:pStyle w:val="97"/>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59"/>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10"/>
  </w:num>
  <w:num w:numId="3">
    <w:abstractNumId w:val="8"/>
  </w:num>
  <w:num w:numId="4">
    <w:abstractNumId w:val="2"/>
  </w:num>
  <w:num w:numId="5">
    <w:abstractNumId w:val="5"/>
  </w:num>
  <w:num w:numId="6">
    <w:abstractNumId w:val="17"/>
  </w:num>
  <w:num w:numId="7">
    <w:abstractNumId w:val="0"/>
  </w:num>
  <w:num w:numId="8">
    <w:abstractNumId w:val="11"/>
  </w:num>
  <w:num w:numId="9">
    <w:abstractNumId w:val="6"/>
  </w:num>
  <w:num w:numId="10">
    <w:abstractNumId w:val="15"/>
  </w:num>
  <w:num w:numId="11">
    <w:abstractNumId w:val="14"/>
  </w:num>
  <w:num w:numId="12">
    <w:abstractNumId w:val="12"/>
  </w:num>
  <w:num w:numId="13">
    <w:abstractNumId w:val="16"/>
  </w:num>
  <w:num w:numId="14">
    <w:abstractNumId w:val="7"/>
  </w:num>
  <w:num w:numId="15">
    <w:abstractNumId w:val="1"/>
  </w:num>
  <w:num w:numId="16">
    <w:abstractNumId w:val="4"/>
  </w:num>
  <w:num w:numId="17">
    <w:abstractNumId w:val="13"/>
  </w:num>
  <w:num w:numId="18">
    <w:abstractNumId w:val="3"/>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attachedTemplate r:id="rId1"/>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FD7"/>
    <w:rsid w:val="00000244"/>
    <w:rsid w:val="0000185F"/>
    <w:rsid w:val="000053B0"/>
    <w:rsid w:val="0000586F"/>
    <w:rsid w:val="00006A6E"/>
    <w:rsid w:val="00010969"/>
    <w:rsid w:val="0001233B"/>
    <w:rsid w:val="00013D86"/>
    <w:rsid w:val="00013E02"/>
    <w:rsid w:val="0002121F"/>
    <w:rsid w:val="0002143C"/>
    <w:rsid w:val="000215FE"/>
    <w:rsid w:val="00025A65"/>
    <w:rsid w:val="00026C31"/>
    <w:rsid w:val="00027280"/>
    <w:rsid w:val="00027869"/>
    <w:rsid w:val="000320A7"/>
    <w:rsid w:val="0003578B"/>
    <w:rsid w:val="00035925"/>
    <w:rsid w:val="0003702D"/>
    <w:rsid w:val="000378F3"/>
    <w:rsid w:val="0004077A"/>
    <w:rsid w:val="0004119F"/>
    <w:rsid w:val="000432E5"/>
    <w:rsid w:val="000456E4"/>
    <w:rsid w:val="00050549"/>
    <w:rsid w:val="00053025"/>
    <w:rsid w:val="00055016"/>
    <w:rsid w:val="0005676A"/>
    <w:rsid w:val="00056891"/>
    <w:rsid w:val="00060186"/>
    <w:rsid w:val="00061BD7"/>
    <w:rsid w:val="00062764"/>
    <w:rsid w:val="00064C5F"/>
    <w:rsid w:val="000651BA"/>
    <w:rsid w:val="00066E9E"/>
    <w:rsid w:val="00067CDF"/>
    <w:rsid w:val="00070887"/>
    <w:rsid w:val="0007136C"/>
    <w:rsid w:val="00074FBE"/>
    <w:rsid w:val="00080F75"/>
    <w:rsid w:val="00081D80"/>
    <w:rsid w:val="00082A7E"/>
    <w:rsid w:val="00083640"/>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8B1"/>
    <w:rsid w:val="000A68AB"/>
    <w:rsid w:val="000B3143"/>
    <w:rsid w:val="000B3C4F"/>
    <w:rsid w:val="000C582C"/>
    <w:rsid w:val="000C6B05"/>
    <w:rsid w:val="000C6DD6"/>
    <w:rsid w:val="000C73D4"/>
    <w:rsid w:val="000D2CF3"/>
    <w:rsid w:val="000D3D4C"/>
    <w:rsid w:val="000D4F51"/>
    <w:rsid w:val="000D6CFF"/>
    <w:rsid w:val="000D718B"/>
    <w:rsid w:val="000E0C46"/>
    <w:rsid w:val="000E0D69"/>
    <w:rsid w:val="000E78FD"/>
    <w:rsid w:val="000F030C"/>
    <w:rsid w:val="000F129C"/>
    <w:rsid w:val="000F58B9"/>
    <w:rsid w:val="00100680"/>
    <w:rsid w:val="00104F16"/>
    <w:rsid w:val="001056DE"/>
    <w:rsid w:val="001124C0"/>
    <w:rsid w:val="001230FD"/>
    <w:rsid w:val="00125A8B"/>
    <w:rsid w:val="0013175F"/>
    <w:rsid w:val="0013332E"/>
    <w:rsid w:val="0013554D"/>
    <w:rsid w:val="00137A49"/>
    <w:rsid w:val="00140C93"/>
    <w:rsid w:val="00142131"/>
    <w:rsid w:val="0014319E"/>
    <w:rsid w:val="00147B89"/>
    <w:rsid w:val="001512B4"/>
    <w:rsid w:val="00151930"/>
    <w:rsid w:val="00152390"/>
    <w:rsid w:val="001559F2"/>
    <w:rsid w:val="001620A5"/>
    <w:rsid w:val="001629BC"/>
    <w:rsid w:val="00164E53"/>
    <w:rsid w:val="001668AD"/>
    <w:rsid w:val="0016699D"/>
    <w:rsid w:val="00175159"/>
    <w:rsid w:val="00176208"/>
    <w:rsid w:val="00176AA8"/>
    <w:rsid w:val="001773D7"/>
    <w:rsid w:val="0018211B"/>
    <w:rsid w:val="00183C89"/>
    <w:rsid w:val="001840D3"/>
    <w:rsid w:val="00185E08"/>
    <w:rsid w:val="00186C51"/>
    <w:rsid w:val="00187759"/>
    <w:rsid w:val="001900F8"/>
    <w:rsid w:val="00191258"/>
    <w:rsid w:val="00192680"/>
    <w:rsid w:val="00193037"/>
    <w:rsid w:val="00193A2C"/>
    <w:rsid w:val="00195A71"/>
    <w:rsid w:val="001A288E"/>
    <w:rsid w:val="001B0AA8"/>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3A19"/>
    <w:rsid w:val="002046D4"/>
    <w:rsid w:val="0020719B"/>
    <w:rsid w:val="00215F0E"/>
    <w:rsid w:val="00215F95"/>
    <w:rsid w:val="002245D5"/>
    <w:rsid w:val="00225C8E"/>
    <w:rsid w:val="00226814"/>
    <w:rsid w:val="00234467"/>
    <w:rsid w:val="002346F0"/>
    <w:rsid w:val="00237D8D"/>
    <w:rsid w:val="00241DA2"/>
    <w:rsid w:val="00246C16"/>
    <w:rsid w:val="00247FEE"/>
    <w:rsid w:val="00250E7D"/>
    <w:rsid w:val="0025654C"/>
    <w:rsid w:val="002565D5"/>
    <w:rsid w:val="00261E4A"/>
    <w:rsid w:val="002622C0"/>
    <w:rsid w:val="00271195"/>
    <w:rsid w:val="002717C6"/>
    <w:rsid w:val="00274D48"/>
    <w:rsid w:val="00276A65"/>
    <w:rsid w:val="00276F86"/>
    <w:rsid w:val="002778AE"/>
    <w:rsid w:val="0028129D"/>
    <w:rsid w:val="0028269A"/>
    <w:rsid w:val="00283590"/>
    <w:rsid w:val="0028373D"/>
    <w:rsid w:val="00284F69"/>
    <w:rsid w:val="00286973"/>
    <w:rsid w:val="00292704"/>
    <w:rsid w:val="00292BE5"/>
    <w:rsid w:val="00294AAC"/>
    <w:rsid w:val="00294E70"/>
    <w:rsid w:val="002A0F5C"/>
    <w:rsid w:val="002A141D"/>
    <w:rsid w:val="002A1924"/>
    <w:rsid w:val="002A7420"/>
    <w:rsid w:val="002B0F12"/>
    <w:rsid w:val="002B1308"/>
    <w:rsid w:val="002B1D86"/>
    <w:rsid w:val="002B4554"/>
    <w:rsid w:val="002C6126"/>
    <w:rsid w:val="002C72D8"/>
    <w:rsid w:val="002D11FA"/>
    <w:rsid w:val="002D6055"/>
    <w:rsid w:val="002E0DDF"/>
    <w:rsid w:val="002E2906"/>
    <w:rsid w:val="002E363B"/>
    <w:rsid w:val="002E4928"/>
    <w:rsid w:val="002E50A6"/>
    <w:rsid w:val="002E5635"/>
    <w:rsid w:val="002E64C3"/>
    <w:rsid w:val="002E6A2C"/>
    <w:rsid w:val="002E6EBC"/>
    <w:rsid w:val="002F1D8C"/>
    <w:rsid w:val="002F21DA"/>
    <w:rsid w:val="002F3489"/>
    <w:rsid w:val="002F4BED"/>
    <w:rsid w:val="00301F39"/>
    <w:rsid w:val="00304C5F"/>
    <w:rsid w:val="00310A54"/>
    <w:rsid w:val="00315E5D"/>
    <w:rsid w:val="00325926"/>
    <w:rsid w:val="003277B3"/>
    <w:rsid w:val="00327A8A"/>
    <w:rsid w:val="00336610"/>
    <w:rsid w:val="00343F73"/>
    <w:rsid w:val="00344F93"/>
    <w:rsid w:val="00345060"/>
    <w:rsid w:val="00346FE0"/>
    <w:rsid w:val="00351B28"/>
    <w:rsid w:val="0035323B"/>
    <w:rsid w:val="0035378A"/>
    <w:rsid w:val="00356F97"/>
    <w:rsid w:val="003609D2"/>
    <w:rsid w:val="00363F22"/>
    <w:rsid w:val="003654C4"/>
    <w:rsid w:val="003674EB"/>
    <w:rsid w:val="00375564"/>
    <w:rsid w:val="00382EAB"/>
    <w:rsid w:val="00383191"/>
    <w:rsid w:val="00386DED"/>
    <w:rsid w:val="003912E7"/>
    <w:rsid w:val="0039273A"/>
    <w:rsid w:val="00393947"/>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E1867"/>
    <w:rsid w:val="003E5729"/>
    <w:rsid w:val="003E5EAE"/>
    <w:rsid w:val="003E6A28"/>
    <w:rsid w:val="003E7514"/>
    <w:rsid w:val="003F2AF5"/>
    <w:rsid w:val="003F3E91"/>
    <w:rsid w:val="003F4EE0"/>
    <w:rsid w:val="003F5AC7"/>
    <w:rsid w:val="003F7207"/>
    <w:rsid w:val="004009C8"/>
    <w:rsid w:val="00400E9E"/>
    <w:rsid w:val="00402153"/>
    <w:rsid w:val="00402FC1"/>
    <w:rsid w:val="004035C7"/>
    <w:rsid w:val="004046C4"/>
    <w:rsid w:val="004100FE"/>
    <w:rsid w:val="0041188B"/>
    <w:rsid w:val="00421E5E"/>
    <w:rsid w:val="00425082"/>
    <w:rsid w:val="00427D04"/>
    <w:rsid w:val="00431DEB"/>
    <w:rsid w:val="0043263E"/>
    <w:rsid w:val="00436B51"/>
    <w:rsid w:val="00446B29"/>
    <w:rsid w:val="00453F9A"/>
    <w:rsid w:val="00455CE5"/>
    <w:rsid w:val="00462CEC"/>
    <w:rsid w:val="00471E91"/>
    <w:rsid w:val="00474675"/>
    <w:rsid w:val="0047470C"/>
    <w:rsid w:val="00485BDC"/>
    <w:rsid w:val="00492D95"/>
    <w:rsid w:val="00493BC3"/>
    <w:rsid w:val="0049613A"/>
    <w:rsid w:val="004969B2"/>
    <w:rsid w:val="004A35F9"/>
    <w:rsid w:val="004A7F6F"/>
    <w:rsid w:val="004B15D8"/>
    <w:rsid w:val="004B24C1"/>
    <w:rsid w:val="004C292F"/>
    <w:rsid w:val="004C5C89"/>
    <w:rsid w:val="004C711D"/>
    <w:rsid w:val="004D4F0A"/>
    <w:rsid w:val="004D56B9"/>
    <w:rsid w:val="004E3212"/>
    <w:rsid w:val="004F49A3"/>
    <w:rsid w:val="004F49F6"/>
    <w:rsid w:val="005008F7"/>
    <w:rsid w:val="00501F7B"/>
    <w:rsid w:val="00510280"/>
    <w:rsid w:val="00512F3E"/>
    <w:rsid w:val="00513D73"/>
    <w:rsid w:val="00514A43"/>
    <w:rsid w:val="005160E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3C11"/>
    <w:rsid w:val="005B4FF9"/>
    <w:rsid w:val="005B5A19"/>
    <w:rsid w:val="005C1706"/>
    <w:rsid w:val="005C1C28"/>
    <w:rsid w:val="005C53B2"/>
    <w:rsid w:val="005C6DB5"/>
    <w:rsid w:val="005D39B7"/>
    <w:rsid w:val="005E19E7"/>
    <w:rsid w:val="005E232A"/>
    <w:rsid w:val="005E259F"/>
    <w:rsid w:val="005E59DE"/>
    <w:rsid w:val="005E60CE"/>
    <w:rsid w:val="005F0D35"/>
    <w:rsid w:val="005F3A96"/>
    <w:rsid w:val="005F7640"/>
    <w:rsid w:val="005F7E9E"/>
    <w:rsid w:val="0060413E"/>
    <w:rsid w:val="00604B74"/>
    <w:rsid w:val="00607EC9"/>
    <w:rsid w:val="006126C0"/>
    <w:rsid w:val="006128E9"/>
    <w:rsid w:val="006149F1"/>
    <w:rsid w:val="0061716C"/>
    <w:rsid w:val="006243A1"/>
    <w:rsid w:val="006278EC"/>
    <w:rsid w:val="0063162D"/>
    <w:rsid w:val="00631E62"/>
    <w:rsid w:val="00632E56"/>
    <w:rsid w:val="00635CBA"/>
    <w:rsid w:val="006407B5"/>
    <w:rsid w:val="0064338B"/>
    <w:rsid w:val="00646542"/>
    <w:rsid w:val="006504F4"/>
    <w:rsid w:val="006507F4"/>
    <w:rsid w:val="00654BC9"/>
    <w:rsid w:val="006552CA"/>
    <w:rsid w:val="006552FD"/>
    <w:rsid w:val="0066184D"/>
    <w:rsid w:val="00663AF3"/>
    <w:rsid w:val="00666B6C"/>
    <w:rsid w:val="0066776B"/>
    <w:rsid w:val="0066799C"/>
    <w:rsid w:val="00676405"/>
    <w:rsid w:val="00682682"/>
    <w:rsid w:val="00682702"/>
    <w:rsid w:val="00682CAE"/>
    <w:rsid w:val="00684333"/>
    <w:rsid w:val="00687003"/>
    <w:rsid w:val="00692368"/>
    <w:rsid w:val="00692DB1"/>
    <w:rsid w:val="00693782"/>
    <w:rsid w:val="00693C38"/>
    <w:rsid w:val="0069434B"/>
    <w:rsid w:val="00695BFF"/>
    <w:rsid w:val="006A0055"/>
    <w:rsid w:val="006A01CA"/>
    <w:rsid w:val="006A2EBC"/>
    <w:rsid w:val="006A5EA0"/>
    <w:rsid w:val="006A783B"/>
    <w:rsid w:val="006A7B33"/>
    <w:rsid w:val="006B204A"/>
    <w:rsid w:val="006B4E13"/>
    <w:rsid w:val="006B75DD"/>
    <w:rsid w:val="006C08B7"/>
    <w:rsid w:val="006C62D5"/>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5451"/>
    <w:rsid w:val="00701D24"/>
    <w:rsid w:val="00704DF6"/>
    <w:rsid w:val="0070651C"/>
    <w:rsid w:val="007132A3"/>
    <w:rsid w:val="0071447D"/>
    <w:rsid w:val="00716421"/>
    <w:rsid w:val="00724EFB"/>
    <w:rsid w:val="00726FFE"/>
    <w:rsid w:val="007334E0"/>
    <w:rsid w:val="007419C3"/>
    <w:rsid w:val="0074241E"/>
    <w:rsid w:val="0074261B"/>
    <w:rsid w:val="00744814"/>
    <w:rsid w:val="00744F22"/>
    <w:rsid w:val="007454DE"/>
    <w:rsid w:val="00745EE3"/>
    <w:rsid w:val="007467A7"/>
    <w:rsid w:val="007469DD"/>
    <w:rsid w:val="0074741B"/>
    <w:rsid w:val="0074759E"/>
    <w:rsid w:val="007478EA"/>
    <w:rsid w:val="0075415C"/>
    <w:rsid w:val="00754280"/>
    <w:rsid w:val="007549D1"/>
    <w:rsid w:val="00756A6C"/>
    <w:rsid w:val="00762B7C"/>
    <w:rsid w:val="00763502"/>
    <w:rsid w:val="00766ABD"/>
    <w:rsid w:val="00774FCA"/>
    <w:rsid w:val="007823C1"/>
    <w:rsid w:val="00787403"/>
    <w:rsid w:val="007913AB"/>
    <w:rsid w:val="007914F7"/>
    <w:rsid w:val="00795282"/>
    <w:rsid w:val="007972CC"/>
    <w:rsid w:val="00797409"/>
    <w:rsid w:val="007A4056"/>
    <w:rsid w:val="007A6D6B"/>
    <w:rsid w:val="007B1625"/>
    <w:rsid w:val="007B2949"/>
    <w:rsid w:val="007B5A52"/>
    <w:rsid w:val="007B65F0"/>
    <w:rsid w:val="007B6C5B"/>
    <w:rsid w:val="007B706E"/>
    <w:rsid w:val="007B71EB"/>
    <w:rsid w:val="007B7457"/>
    <w:rsid w:val="007C1A4D"/>
    <w:rsid w:val="007C6205"/>
    <w:rsid w:val="007C6359"/>
    <w:rsid w:val="007C686A"/>
    <w:rsid w:val="007C728E"/>
    <w:rsid w:val="007C7F3F"/>
    <w:rsid w:val="007D2C53"/>
    <w:rsid w:val="007D3D60"/>
    <w:rsid w:val="007D66C9"/>
    <w:rsid w:val="007E1980"/>
    <w:rsid w:val="007E1EEB"/>
    <w:rsid w:val="007E4B76"/>
    <w:rsid w:val="007E5EA8"/>
    <w:rsid w:val="007F026D"/>
    <w:rsid w:val="007F052A"/>
    <w:rsid w:val="007F0CF1"/>
    <w:rsid w:val="007F12A5"/>
    <w:rsid w:val="007F1923"/>
    <w:rsid w:val="007F26FD"/>
    <w:rsid w:val="007F4CF1"/>
    <w:rsid w:val="007F758D"/>
    <w:rsid w:val="007F7D52"/>
    <w:rsid w:val="00801608"/>
    <w:rsid w:val="00802672"/>
    <w:rsid w:val="0080654C"/>
    <w:rsid w:val="00806796"/>
    <w:rsid w:val="008071C6"/>
    <w:rsid w:val="00813900"/>
    <w:rsid w:val="00814471"/>
    <w:rsid w:val="00815D7E"/>
    <w:rsid w:val="00817A00"/>
    <w:rsid w:val="008202DF"/>
    <w:rsid w:val="0082108D"/>
    <w:rsid w:val="00821CAE"/>
    <w:rsid w:val="00825DC3"/>
    <w:rsid w:val="00831AA2"/>
    <w:rsid w:val="00831F7D"/>
    <w:rsid w:val="00835DB3"/>
    <w:rsid w:val="0083617B"/>
    <w:rsid w:val="008370D2"/>
    <w:rsid w:val="008371BD"/>
    <w:rsid w:val="0084297F"/>
    <w:rsid w:val="008446E3"/>
    <w:rsid w:val="008447FF"/>
    <w:rsid w:val="00847169"/>
    <w:rsid w:val="008504A8"/>
    <w:rsid w:val="0085202D"/>
    <w:rsid w:val="00852108"/>
    <w:rsid w:val="0085282E"/>
    <w:rsid w:val="008652BC"/>
    <w:rsid w:val="0086752D"/>
    <w:rsid w:val="0087198C"/>
    <w:rsid w:val="00872C1F"/>
    <w:rsid w:val="008735C6"/>
    <w:rsid w:val="00873B42"/>
    <w:rsid w:val="00873F6C"/>
    <w:rsid w:val="008768B0"/>
    <w:rsid w:val="00885446"/>
    <w:rsid w:val="008856D8"/>
    <w:rsid w:val="0089069C"/>
    <w:rsid w:val="00892E82"/>
    <w:rsid w:val="00893D49"/>
    <w:rsid w:val="00896411"/>
    <w:rsid w:val="008A1536"/>
    <w:rsid w:val="008A236D"/>
    <w:rsid w:val="008A753A"/>
    <w:rsid w:val="008B276C"/>
    <w:rsid w:val="008C06EB"/>
    <w:rsid w:val="008C1B4A"/>
    <w:rsid w:val="008C1B58"/>
    <w:rsid w:val="008C39AE"/>
    <w:rsid w:val="008C590D"/>
    <w:rsid w:val="008C67C7"/>
    <w:rsid w:val="008D0215"/>
    <w:rsid w:val="008D2E65"/>
    <w:rsid w:val="008D2FAF"/>
    <w:rsid w:val="008D3E2C"/>
    <w:rsid w:val="008D564F"/>
    <w:rsid w:val="008D565B"/>
    <w:rsid w:val="008D590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11190"/>
    <w:rsid w:val="0091331C"/>
    <w:rsid w:val="00913C85"/>
    <w:rsid w:val="00915E33"/>
    <w:rsid w:val="009279DE"/>
    <w:rsid w:val="00930116"/>
    <w:rsid w:val="00930D34"/>
    <w:rsid w:val="00935495"/>
    <w:rsid w:val="0094212C"/>
    <w:rsid w:val="009438A2"/>
    <w:rsid w:val="0094647C"/>
    <w:rsid w:val="009468EF"/>
    <w:rsid w:val="009543BE"/>
    <w:rsid w:val="00954689"/>
    <w:rsid w:val="009617C9"/>
    <w:rsid w:val="00961C93"/>
    <w:rsid w:val="00963DD4"/>
    <w:rsid w:val="00964A94"/>
    <w:rsid w:val="00965324"/>
    <w:rsid w:val="0097091E"/>
    <w:rsid w:val="009739DE"/>
    <w:rsid w:val="009760D3"/>
    <w:rsid w:val="009770CC"/>
    <w:rsid w:val="00977132"/>
    <w:rsid w:val="009805EA"/>
    <w:rsid w:val="00981A4B"/>
    <w:rsid w:val="00982501"/>
    <w:rsid w:val="00986B9C"/>
    <w:rsid w:val="009877D3"/>
    <w:rsid w:val="00987806"/>
    <w:rsid w:val="00990471"/>
    <w:rsid w:val="0099200F"/>
    <w:rsid w:val="009939DD"/>
    <w:rsid w:val="00994E8F"/>
    <w:rsid w:val="009951DC"/>
    <w:rsid w:val="009959BB"/>
    <w:rsid w:val="00997158"/>
    <w:rsid w:val="009A1324"/>
    <w:rsid w:val="009A2D72"/>
    <w:rsid w:val="009A3A7C"/>
    <w:rsid w:val="009A4BBF"/>
    <w:rsid w:val="009A6F7F"/>
    <w:rsid w:val="009B2293"/>
    <w:rsid w:val="009B2ADB"/>
    <w:rsid w:val="009B603A"/>
    <w:rsid w:val="009C0DF3"/>
    <w:rsid w:val="009C2D0E"/>
    <w:rsid w:val="009C3DAC"/>
    <w:rsid w:val="009C42E0"/>
    <w:rsid w:val="009D206E"/>
    <w:rsid w:val="009D42F1"/>
    <w:rsid w:val="009D5362"/>
    <w:rsid w:val="009E1415"/>
    <w:rsid w:val="009E4D58"/>
    <w:rsid w:val="009E60F2"/>
    <w:rsid w:val="009E6116"/>
    <w:rsid w:val="009F096B"/>
    <w:rsid w:val="009F14AB"/>
    <w:rsid w:val="009F31C5"/>
    <w:rsid w:val="009F6608"/>
    <w:rsid w:val="00A020A7"/>
    <w:rsid w:val="00A02E43"/>
    <w:rsid w:val="00A05ACB"/>
    <w:rsid w:val="00A065F9"/>
    <w:rsid w:val="00A07F34"/>
    <w:rsid w:val="00A16306"/>
    <w:rsid w:val="00A22154"/>
    <w:rsid w:val="00A24CA6"/>
    <w:rsid w:val="00A25C38"/>
    <w:rsid w:val="00A27CA2"/>
    <w:rsid w:val="00A31C69"/>
    <w:rsid w:val="00A3328C"/>
    <w:rsid w:val="00A3618A"/>
    <w:rsid w:val="00A36B07"/>
    <w:rsid w:val="00A36BBE"/>
    <w:rsid w:val="00A40DA4"/>
    <w:rsid w:val="00A4307A"/>
    <w:rsid w:val="00A45884"/>
    <w:rsid w:val="00A47EBB"/>
    <w:rsid w:val="00A51890"/>
    <w:rsid w:val="00A51CDD"/>
    <w:rsid w:val="00A54FD3"/>
    <w:rsid w:val="00A5714F"/>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977ED"/>
    <w:rsid w:val="00AA038C"/>
    <w:rsid w:val="00AA3705"/>
    <w:rsid w:val="00AA7A09"/>
    <w:rsid w:val="00AB3235"/>
    <w:rsid w:val="00AB3B50"/>
    <w:rsid w:val="00AB5E69"/>
    <w:rsid w:val="00AB6017"/>
    <w:rsid w:val="00AB78F9"/>
    <w:rsid w:val="00AC05B1"/>
    <w:rsid w:val="00AC08AB"/>
    <w:rsid w:val="00AC0C5D"/>
    <w:rsid w:val="00AC5220"/>
    <w:rsid w:val="00AC63DF"/>
    <w:rsid w:val="00AD356C"/>
    <w:rsid w:val="00AD5177"/>
    <w:rsid w:val="00AD7634"/>
    <w:rsid w:val="00AD7D5B"/>
    <w:rsid w:val="00AE0EE4"/>
    <w:rsid w:val="00AE2914"/>
    <w:rsid w:val="00AE375D"/>
    <w:rsid w:val="00AE4FD7"/>
    <w:rsid w:val="00AE6D15"/>
    <w:rsid w:val="00AF28B2"/>
    <w:rsid w:val="00AF4205"/>
    <w:rsid w:val="00B00E13"/>
    <w:rsid w:val="00B017DA"/>
    <w:rsid w:val="00B02CB7"/>
    <w:rsid w:val="00B04182"/>
    <w:rsid w:val="00B05887"/>
    <w:rsid w:val="00B07AE3"/>
    <w:rsid w:val="00B07CCD"/>
    <w:rsid w:val="00B11430"/>
    <w:rsid w:val="00B11D69"/>
    <w:rsid w:val="00B1718F"/>
    <w:rsid w:val="00B23A84"/>
    <w:rsid w:val="00B242BD"/>
    <w:rsid w:val="00B26FAF"/>
    <w:rsid w:val="00B353EB"/>
    <w:rsid w:val="00B3550C"/>
    <w:rsid w:val="00B439C4"/>
    <w:rsid w:val="00B4535E"/>
    <w:rsid w:val="00B52554"/>
    <w:rsid w:val="00B52A8C"/>
    <w:rsid w:val="00B57EF4"/>
    <w:rsid w:val="00B61351"/>
    <w:rsid w:val="00B61764"/>
    <w:rsid w:val="00B636A8"/>
    <w:rsid w:val="00B665C6"/>
    <w:rsid w:val="00B71E88"/>
    <w:rsid w:val="00B7534A"/>
    <w:rsid w:val="00B805AF"/>
    <w:rsid w:val="00B82543"/>
    <w:rsid w:val="00B85F68"/>
    <w:rsid w:val="00B869EC"/>
    <w:rsid w:val="00B86DC7"/>
    <w:rsid w:val="00B93704"/>
    <w:rsid w:val="00B9397A"/>
    <w:rsid w:val="00B9633D"/>
    <w:rsid w:val="00BA0447"/>
    <w:rsid w:val="00BA0B75"/>
    <w:rsid w:val="00BA2EBE"/>
    <w:rsid w:val="00BA4ADD"/>
    <w:rsid w:val="00BA6D23"/>
    <w:rsid w:val="00BB0E1E"/>
    <w:rsid w:val="00BB0F28"/>
    <w:rsid w:val="00BB27C3"/>
    <w:rsid w:val="00BB2F33"/>
    <w:rsid w:val="00BB458A"/>
    <w:rsid w:val="00BC6A9F"/>
    <w:rsid w:val="00BD00D3"/>
    <w:rsid w:val="00BD1659"/>
    <w:rsid w:val="00BD3AA9"/>
    <w:rsid w:val="00BD3D42"/>
    <w:rsid w:val="00BD4A18"/>
    <w:rsid w:val="00BD5ABE"/>
    <w:rsid w:val="00BD69A8"/>
    <w:rsid w:val="00BD6DB2"/>
    <w:rsid w:val="00BE11CF"/>
    <w:rsid w:val="00BE1D8F"/>
    <w:rsid w:val="00BE21AB"/>
    <w:rsid w:val="00BE55CB"/>
    <w:rsid w:val="00BE5CD4"/>
    <w:rsid w:val="00BF617A"/>
    <w:rsid w:val="00BF6FCE"/>
    <w:rsid w:val="00C0379D"/>
    <w:rsid w:val="00C038E9"/>
    <w:rsid w:val="00C03931"/>
    <w:rsid w:val="00C04D89"/>
    <w:rsid w:val="00C05A76"/>
    <w:rsid w:val="00C05FE3"/>
    <w:rsid w:val="00C153C6"/>
    <w:rsid w:val="00C2136D"/>
    <w:rsid w:val="00C214EE"/>
    <w:rsid w:val="00C2314B"/>
    <w:rsid w:val="00C24971"/>
    <w:rsid w:val="00C26BE5"/>
    <w:rsid w:val="00C26E4D"/>
    <w:rsid w:val="00C27357"/>
    <w:rsid w:val="00C27909"/>
    <w:rsid w:val="00C27B03"/>
    <w:rsid w:val="00C3076F"/>
    <w:rsid w:val="00C30D69"/>
    <w:rsid w:val="00C314E1"/>
    <w:rsid w:val="00C34397"/>
    <w:rsid w:val="00C34927"/>
    <w:rsid w:val="00C34E41"/>
    <w:rsid w:val="00C361CD"/>
    <w:rsid w:val="00C3788B"/>
    <w:rsid w:val="00C4095D"/>
    <w:rsid w:val="00C447C4"/>
    <w:rsid w:val="00C4529D"/>
    <w:rsid w:val="00C47D1A"/>
    <w:rsid w:val="00C601D2"/>
    <w:rsid w:val="00C65BCC"/>
    <w:rsid w:val="00C65FBC"/>
    <w:rsid w:val="00C66970"/>
    <w:rsid w:val="00C732CC"/>
    <w:rsid w:val="00C74886"/>
    <w:rsid w:val="00C8340D"/>
    <w:rsid w:val="00C85A67"/>
    <w:rsid w:val="00C8691C"/>
    <w:rsid w:val="00C8772C"/>
    <w:rsid w:val="00C958A2"/>
    <w:rsid w:val="00C97F28"/>
    <w:rsid w:val="00CA15B9"/>
    <w:rsid w:val="00CA168A"/>
    <w:rsid w:val="00CA3025"/>
    <w:rsid w:val="00CA357E"/>
    <w:rsid w:val="00CA44F9"/>
    <w:rsid w:val="00CA49C9"/>
    <w:rsid w:val="00CA4A69"/>
    <w:rsid w:val="00CA64CD"/>
    <w:rsid w:val="00CB2D56"/>
    <w:rsid w:val="00CB6968"/>
    <w:rsid w:val="00CB6E9C"/>
    <w:rsid w:val="00CC3E0C"/>
    <w:rsid w:val="00CC4599"/>
    <w:rsid w:val="00CC56E2"/>
    <w:rsid w:val="00CC58D3"/>
    <w:rsid w:val="00CC6BC3"/>
    <w:rsid w:val="00CC7212"/>
    <w:rsid w:val="00CC784D"/>
    <w:rsid w:val="00CD11F7"/>
    <w:rsid w:val="00CE095F"/>
    <w:rsid w:val="00CE2DDE"/>
    <w:rsid w:val="00CE50BB"/>
    <w:rsid w:val="00CE5BF1"/>
    <w:rsid w:val="00CE7211"/>
    <w:rsid w:val="00CF15DC"/>
    <w:rsid w:val="00CF2B19"/>
    <w:rsid w:val="00CF2C7A"/>
    <w:rsid w:val="00CF425A"/>
    <w:rsid w:val="00CF4B8D"/>
    <w:rsid w:val="00CF50A6"/>
    <w:rsid w:val="00CF5580"/>
    <w:rsid w:val="00D00C42"/>
    <w:rsid w:val="00D01A9E"/>
    <w:rsid w:val="00D02467"/>
    <w:rsid w:val="00D0337B"/>
    <w:rsid w:val="00D04DD5"/>
    <w:rsid w:val="00D079B2"/>
    <w:rsid w:val="00D114E9"/>
    <w:rsid w:val="00D116CD"/>
    <w:rsid w:val="00D17A82"/>
    <w:rsid w:val="00D258AB"/>
    <w:rsid w:val="00D30301"/>
    <w:rsid w:val="00D324D3"/>
    <w:rsid w:val="00D362A9"/>
    <w:rsid w:val="00D42827"/>
    <w:rsid w:val="00D429C6"/>
    <w:rsid w:val="00D43A52"/>
    <w:rsid w:val="00D47748"/>
    <w:rsid w:val="00D54CC3"/>
    <w:rsid w:val="00D57710"/>
    <w:rsid w:val="00D603DE"/>
    <w:rsid w:val="00D6041A"/>
    <w:rsid w:val="00D62A1A"/>
    <w:rsid w:val="00D62B03"/>
    <w:rsid w:val="00D633EB"/>
    <w:rsid w:val="00D650D8"/>
    <w:rsid w:val="00D66B2B"/>
    <w:rsid w:val="00D81822"/>
    <w:rsid w:val="00D82FF7"/>
    <w:rsid w:val="00D847FE"/>
    <w:rsid w:val="00D87922"/>
    <w:rsid w:val="00D9055F"/>
    <w:rsid w:val="00D9070D"/>
    <w:rsid w:val="00D9262C"/>
    <w:rsid w:val="00D9303B"/>
    <w:rsid w:val="00D964EA"/>
    <w:rsid w:val="00D966D0"/>
    <w:rsid w:val="00DA0C59"/>
    <w:rsid w:val="00DA3991"/>
    <w:rsid w:val="00DA40E3"/>
    <w:rsid w:val="00DA79E0"/>
    <w:rsid w:val="00DB0990"/>
    <w:rsid w:val="00DB2C4C"/>
    <w:rsid w:val="00DB5B16"/>
    <w:rsid w:val="00DB6517"/>
    <w:rsid w:val="00DB7A00"/>
    <w:rsid w:val="00DB7E6C"/>
    <w:rsid w:val="00DC296C"/>
    <w:rsid w:val="00DD17E6"/>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302E"/>
    <w:rsid w:val="00E06386"/>
    <w:rsid w:val="00E117D0"/>
    <w:rsid w:val="00E15072"/>
    <w:rsid w:val="00E15DB0"/>
    <w:rsid w:val="00E214BC"/>
    <w:rsid w:val="00E24B93"/>
    <w:rsid w:val="00E24EB4"/>
    <w:rsid w:val="00E26AB3"/>
    <w:rsid w:val="00E320ED"/>
    <w:rsid w:val="00E32C33"/>
    <w:rsid w:val="00E33AFB"/>
    <w:rsid w:val="00E34218"/>
    <w:rsid w:val="00E36530"/>
    <w:rsid w:val="00E36BA6"/>
    <w:rsid w:val="00E373D7"/>
    <w:rsid w:val="00E44E1F"/>
    <w:rsid w:val="00E46282"/>
    <w:rsid w:val="00E5216E"/>
    <w:rsid w:val="00E67142"/>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C78FF"/>
    <w:rsid w:val="00ED14EF"/>
    <w:rsid w:val="00ED2775"/>
    <w:rsid w:val="00ED35D0"/>
    <w:rsid w:val="00ED532B"/>
    <w:rsid w:val="00ED7999"/>
    <w:rsid w:val="00ED7F55"/>
    <w:rsid w:val="00EE2BED"/>
    <w:rsid w:val="00EE374B"/>
    <w:rsid w:val="00EE430A"/>
    <w:rsid w:val="00EE62B1"/>
    <w:rsid w:val="00EE7AF7"/>
    <w:rsid w:val="00EF1500"/>
    <w:rsid w:val="00EF508D"/>
    <w:rsid w:val="00EF76AB"/>
    <w:rsid w:val="00F04D4C"/>
    <w:rsid w:val="00F11BB5"/>
    <w:rsid w:val="00F12755"/>
    <w:rsid w:val="00F12B73"/>
    <w:rsid w:val="00F1417B"/>
    <w:rsid w:val="00F20367"/>
    <w:rsid w:val="00F24FD7"/>
    <w:rsid w:val="00F2605B"/>
    <w:rsid w:val="00F327DD"/>
    <w:rsid w:val="00F328CE"/>
    <w:rsid w:val="00F34311"/>
    <w:rsid w:val="00F34B99"/>
    <w:rsid w:val="00F363DC"/>
    <w:rsid w:val="00F40985"/>
    <w:rsid w:val="00F42F3E"/>
    <w:rsid w:val="00F44DB6"/>
    <w:rsid w:val="00F47529"/>
    <w:rsid w:val="00F512B5"/>
    <w:rsid w:val="00F51DFB"/>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91C24"/>
    <w:rsid w:val="00F91C4D"/>
    <w:rsid w:val="00F92FD9"/>
    <w:rsid w:val="00FA190C"/>
    <w:rsid w:val="00FA2BE5"/>
    <w:rsid w:val="00FA46F4"/>
    <w:rsid w:val="00FA6684"/>
    <w:rsid w:val="00FA731E"/>
    <w:rsid w:val="00FB0F2B"/>
    <w:rsid w:val="00FB2B38"/>
    <w:rsid w:val="00FC6358"/>
    <w:rsid w:val="00FD01CF"/>
    <w:rsid w:val="00FD229E"/>
    <w:rsid w:val="00FD320D"/>
    <w:rsid w:val="00FE1C50"/>
    <w:rsid w:val="00FE23DE"/>
    <w:rsid w:val="00FF04A9"/>
    <w:rsid w:val="1F5B74E5"/>
    <w:rsid w:val="1F6F3426"/>
    <w:rsid w:val="2DBBFB14"/>
    <w:rsid w:val="2EA8435B"/>
    <w:rsid w:val="2FDE531A"/>
    <w:rsid w:val="33251C93"/>
    <w:rsid w:val="36BF489D"/>
    <w:rsid w:val="39FFFC97"/>
    <w:rsid w:val="3D6FB852"/>
    <w:rsid w:val="4590011C"/>
    <w:rsid w:val="52331739"/>
    <w:rsid w:val="54FF0E20"/>
    <w:rsid w:val="553F6C35"/>
    <w:rsid w:val="559A1E82"/>
    <w:rsid w:val="57EF1C2A"/>
    <w:rsid w:val="5A8FF8CE"/>
    <w:rsid w:val="5EF7F75F"/>
    <w:rsid w:val="669E23CB"/>
    <w:rsid w:val="6B7FFD2D"/>
    <w:rsid w:val="6BDFB197"/>
    <w:rsid w:val="6D27B2D0"/>
    <w:rsid w:val="6FBF9DA8"/>
    <w:rsid w:val="7377DB8C"/>
    <w:rsid w:val="74FE6239"/>
    <w:rsid w:val="777FE528"/>
    <w:rsid w:val="77DF95B9"/>
    <w:rsid w:val="78303D1E"/>
    <w:rsid w:val="78EF419A"/>
    <w:rsid w:val="7C7C63FB"/>
    <w:rsid w:val="7CBD33DD"/>
    <w:rsid w:val="7CF7F20B"/>
    <w:rsid w:val="7E45E9CA"/>
    <w:rsid w:val="7EF7D140"/>
    <w:rsid w:val="7EFF5153"/>
    <w:rsid w:val="7F8790D3"/>
    <w:rsid w:val="7FCFB9CF"/>
    <w:rsid w:val="7FEE679E"/>
    <w:rsid w:val="7FFF92AE"/>
    <w:rsid w:val="7FFFA7EC"/>
    <w:rsid w:val="999EA531"/>
    <w:rsid w:val="A5DFB70C"/>
    <w:rsid w:val="A7BBDCD4"/>
    <w:rsid w:val="ABD4D075"/>
    <w:rsid w:val="AEEFF138"/>
    <w:rsid w:val="B72F9B02"/>
    <w:rsid w:val="BEBD9EC5"/>
    <w:rsid w:val="BFF64580"/>
    <w:rsid w:val="BFFFA329"/>
    <w:rsid w:val="D8F7E35F"/>
    <w:rsid w:val="DDBB23A1"/>
    <w:rsid w:val="DEEF9E99"/>
    <w:rsid w:val="E4FD1A65"/>
    <w:rsid w:val="EF771DCA"/>
    <w:rsid w:val="EF8E9828"/>
    <w:rsid w:val="EFEF7015"/>
    <w:rsid w:val="F5CDE4EB"/>
    <w:rsid w:val="F77F850F"/>
    <w:rsid w:val="F7EBD473"/>
    <w:rsid w:val="FA49F668"/>
    <w:rsid w:val="FADED0B8"/>
    <w:rsid w:val="FB3F6577"/>
    <w:rsid w:val="FDFDE8E3"/>
    <w:rsid w:val="FED790B7"/>
    <w:rsid w:val="FEF7A734"/>
    <w:rsid w:val="FEFD4BCA"/>
    <w:rsid w:val="FF79D389"/>
    <w:rsid w:val="FFCE0526"/>
    <w:rsid w:val="FFDC26AB"/>
    <w:rsid w:val="FFEB2F11"/>
    <w:rsid w:val="FFF9259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qFormat="1" w:uiPriority="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1"/>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2"/>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semiHidden/>
    <w:unhideWhenUsed/>
    <w:qFormat/>
    <w:uiPriority w:val="0"/>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index 4"/>
    <w:basedOn w:val="1"/>
    <w:next w:val="1"/>
    <w:qFormat/>
    <w:uiPriority w:val="0"/>
    <w:pPr>
      <w:ind w:left="840" w:hanging="210"/>
      <w:jc w:val="left"/>
    </w:pPr>
    <w:rPr>
      <w:rFonts w:ascii="Calibri" w:hAnsi="Calibri"/>
      <w:sz w:val="20"/>
      <w:szCs w:val="20"/>
    </w:rPr>
  </w:style>
  <w:style w:type="paragraph" w:styleId="13">
    <w:name w:val="toc 5"/>
    <w:basedOn w:val="1"/>
    <w:next w:val="1"/>
    <w:semiHidden/>
    <w:qFormat/>
    <w:uiPriority w:val="0"/>
    <w:pPr>
      <w:tabs>
        <w:tab w:val="right" w:leader="dot" w:pos="9241"/>
      </w:tabs>
      <w:ind w:firstLine="300" w:firstLineChars="300"/>
      <w:jc w:val="left"/>
    </w:pPr>
    <w:rPr>
      <w:rFonts w:ascii="宋体"/>
      <w:szCs w:val="21"/>
    </w:rPr>
  </w:style>
  <w:style w:type="paragraph" w:styleId="14">
    <w:name w:val="toc 3"/>
    <w:basedOn w:val="1"/>
    <w:next w:val="1"/>
    <w:qFormat/>
    <w:uiPriority w:val="39"/>
    <w:pPr>
      <w:tabs>
        <w:tab w:val="right" w:leader="dot" w:pos="9241"/>
      </w:tabs>
      <w:ind w:firstLine="100" w:firstLineChars="100"/>
      <w:jc w:val="left"/>
    </w:pPr>
    <w:rPr>
      <w:rFonts w:ascii="宋体"/>
      <w:szCs w:val="21"/>
    </w:rPr>
  </w:style>
  <w:style w:type="paragraph" w:styleId="15">
    <w:name w:val="toc 8"/>
    <w:basedOn w:val="1"/>
    <w:next w:val="1"/>
    <w:semiHidden/>
    <w:qFormat/>
    <w:uiPriority w:val="0"/>
    <w:pPr>
      <w:tabs>
        <w:tab w:val="right" w:leader="dot" w:pos="9241"/>
      </w:tabs>
      <w:ind w:firstLine="607" w:firstLineChars="600"/>
      <w:jc w:val="left"/>
    </w:pPr>
    <w:rPr>
      <w:rFonts w:ascii="宋体"/>
      <w:szCs w:val="21"/>
    </w:rPr>
  </w:style>
  <w:style w:type="paragraph" w:styleId="16">
    <w:name w:val="index 3"/>
    <w:basedOn w:val="1"/>
    <w:next w:val="1"/>
    <w:qFormat/>
    <w:uiPriority w:val="0"/>
    <w:pPr>
      <w:ind w:left="630" w:hanging="210"/>
      <w:jc w:val="left"/>
    </w:pPr>
    <w:rPr>
      <w:rFonts w:ascii="Calibri" w:hAnsi="Calibri"/>
      <w:sz w:val="20"/>
      <w:szCs w:val="20"/>
    </w:rPr>
  </w:style>
  <w:style w:type="paragraph" w:styleId="17">
    <w:name w:val="endnote text"/>
    <w:basedOn w:val="1"/>
    <w:semiHidden/>
    <w:qFormat/>
    <w:uiPriority w:val="0"/>
    <w:pPr>
      <w:snapToGrid w:val="0"/>
      <w:jc w:val="left"/>
    </w:pPr>
  </w:style>
  <w:style w:type="paragraph" w:styleId="18">
    <w:name w:val="Balloon Text"/>
    <w:basedOn w:val="1"/>
    <w:link w:val="143"/>
    <w:qFormat/>
    <w:uiPriority w:val="0"/>
    <w:rPr>
      <w:sz w:val="18"/>
      <w:szCs w:val="18"/>
    </w:rPr>
  </w:style>
  <w:style w:type="paragraph" w:styleId="19">
    <w:name w:val="footer"/>
    <w:basedOn w:val="1"/>
    <w:qFormat/>
    <w:uiPriority w:val="0"/>
    <w:pPr>
      <w:snapToGrid w:val="0"/>
      <w:ind w:right="210" w:rightChars="100"/>
      <w:jc w:val="right"/>
    </w:pPr>
    <w:rPr>
      <w:sz w:val="18"/>
      <w:szCs w:val="18"/>
    </w:rPr>
  </w:style>
  <w:style w:type="paragraph" w:styleId="20">
    <w:name w:val="header"/>
    <w:basedOn w:val="1"/>
    <w:qFormat/>
    <w:uiPriority w:val="0"/>
    <w:pPr>
      <w:snapToGrid w:val="0"/>
      <w:jc w:val="left"/>
    </w:pPr>
    <w:rPr>
      <w:sz w:val="18"/>
      <w:szCs w:val="18"/>
    </w:rPr>
  </w:style>
  <w:style w:type="paragraph" w:styleId="21">
    <w:name w:val="toc 1"/>
    <w:basedOn w:val="1"/>
    <w:next w:val="1"/>
    <w:qFormat/>
    <w:uiPriority w:val="39"/>
    <w:pPr>
      <w:tabs>
        <w:tab w:val="right" w:leader="dot" w:pos="9242"/>
      </w:tabs>
      <w:spacing w:beforeLines="25" w:afterLines="25"/>
      <w:jc w:val="left"/>
    </w:pPr>
    <w:rPr>
      <w:rFonts w:ascii="宋体"/>
      <w:szCs w:val="21"/>
    </w:rPr>
  </w:style>
  <w:style w:type="paragraph" w:styleId="22">
    <w:name w:val="toc 4"/>
    <w:basedOn w:val="1"/>
    <w:next w:val="1"/>
    <w:semiHidden/>
    <w:qFormat/>
    <w:uiPriority w:val="0"/>
    <w:pPr>
      <w:tabs>
        <w:tab w:val="right" w:leader="dot" w:pos="9241"/>
      </w:tabs>
      <w:ind w:firstLine="200" w:firstLineChars="200"/>
      <w:jc w:val="left"/>
    </w:pPr>
    <w:rPr>
      <w:rFonts w:ascii="宋体"/>
      <w:szCs w:val="21"/>
    </w:rPr>
  </w:style>
  <w:style w:type="paragraph" w:styleId="23">
    <w:name w:val="index heading"/>
    <w:basedOn w:val="1"/>
    <w:next w:val="24"/>
    <w:qFormat/>
    <w:uiPriority w:val="0"/>
    <w:pPr>
      <w:spacing w:before="120" w:after="120"/>
      <w:jc w:val="center"/>
    </w:pPr>
    <w:rPr>
      <w:rFonts w:ascii="Calibri" w:hAnsi="Calibri"/>
      <w:b/>
      <w:bCs/>
      <w:iCs/>
      <w:szCs w:val="20"/>
    </w:rPr>
  </w:style>
  <w:style w:type="paragraph" w:styleId="24">
    <w:name w:val="index 1"/>
    <w:basedOn w:val="1"/>
    <w:next w:val="25"/>
    <w:qFormat/>
    <w:uiPriority w:val="0"/>
    <w:pPr>
      <w:tabs>
        <w:tab w:val="right" w:leader="dot" w:pos="9299"/>
      </w:tabs>
      <w:jc w:val="left"/>
    </w:pPr>
    <w:rPr>
      <w:rFonts w:ascii="宋体"/>
      <w:szCs w:val="21"/>
    </w:rPr>
  </w:style>
  <w:style w:type="paragraph" w:customStyle="1" w:styleId="25">
    <w:name w:val="段"/>
    <w:link w:val="4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6">
    <w:name w:val="footnote text"/>
    <w:basedOn w:val="1"/>
    <w:qFormat/>
    <w:uiPriority w:val="0"/>
    <w:pPr>
      <w:numPr>
        <w:ilvl w:val="0"/>
        <w:numId w:val="1"/>
      </w:numPr>
      <w:snapToGrid w:val="0"/>
      <w:jc w:val="left"/>
    </w:pPr>
    <w:rPr>
      <w:rFonts w:ascii="宋体"/>
      <w:sz w:val="18"/>
      <w:szCs w:val="18"/>
    </w:rPr>
  </w:style>
  <w:style w:type="paragraph" w:styleId="27">
    <w:name w:val="toc 6"/>
    <w:basedOn w:val="1"/>
    <w:next w:val="1"/>
    <w:semiHidden/>
    <w:qFormat/>
    <w:uiPriority w:val="0"/>
    <w:pPr>
      <w:tabs>
        <w:tab w:val="right" w:leader="dot" w:pos="9241"/>
      </w:tabs>
      <w:ind w:firstLine="400" w:firstLineChars="400"/>
      <w:jc w:val="left"/>
    </w:pPr>
    <w:rPr>
      <w:rFonts w:ascii="宋体"/>
      <w:szCs w:val="21"/>
    </w:rPr>
  </w:style>
  <w:style w:type="paragraph" w:styleId="28">
    <w:name w:val="index 7"/>
    <w:basedOn w:val="1"/>
    <w:next w:val="1"/>
    <w:qFormat/>
    <w:uiPriority w:val="0"/>
    <w:pPr>
      <w:ind w:left="1470" w:hanging="210"/>
      <w:jc w:val="left"/>
    </w:pPr>
    <w:rPr>
      <w:rFonts w:ascii="Calibri" w:hAnsi="Calibri"/>
      <w:sz w:val="20"/>
      <w:szCs w:val="20"/>
    </w:rPr>
  </w:style>
  <w:style w:type="paragraph" w:styleId="29">
    <w:name w:val="index 9"/>
    <w:basedOn w:val="1"/>
    <w:next w:val="1"/>
    <w:qFormat/>
    <w:uiPriority w:val="0"/>
    <w:pPr>
      <w:ind w:left="1890" w:hanging="210"/>
      <w:jc w:val="left"/>
    </w:pPr>
    <w:rPr>
      <w:rFonts w:ascii="Calibri" w:hAnsi="Calibri"/>
      <w:sz w:val="20"/>
      <w:szCs w:val="20"/>
    </w:rPr>
  </w:style>
  <w:style w:type="paragraph" w:styleId="30">
    <w:name w:val="toc 2"/>
    <w:basedOn w:val="1"/>
    <w:next w:val="1"/>
    <w:qFormat/>
    <w:uiPriority w:val="39"/>
    <w:pPr>
      <w:tabs>
        <w:tab w:val="right" w:leader="dot" w:pos="9242"/>
      </w:tabs>
      <w:ind w:left="100" w:leftChars="100"/>
    </w:pPr>
    <w:rPr>
      <w:rFonts w:ascii="宋体"/>
      <w:szCs w:val="21"/>
    </w:rPr>
  </w:style>
  <w:style w:type="paragraph" w:styleId="31">
    <w:name w:val="toc 9"/>
    <w:basedOn w:val="1"/>
    <w:next w:val="1"/>
    <w:semiHidden/>
    <w:qFormat/>
    <w:uiPriority w:val="0"/>
    <w:pPr>
      <w:ind w:left="1470"/>
      <w:jc w:val="left"/>
    </w:pPr>
    <w:rPr>
      <w:sz w:val="20"/>
      <w:szCs w:val="20"/>
    </w:rPr>
  </w:style>
  <w:style w:type="paragraph" w:styleId="3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3">
    <w:name w:val="index 2"/>
    <w:basedOn w:val="1"/>
    <w:next w:val="1"/>
    <w:qFormat/>
    <w:uiPriority w:val="0"/>
    <w:pPr>
      <w:ind w:left="420" w:hanging="210"/>
      <w:jc w:val="left"/>
    </w:pPr>
    <w:rPr>
      <w:rFonts w:ascii="Calibri" w:hAnsi="Calibri"/>
      <w:sz w:val="20"/>
      <w:szCs w:val="20"/>
    </w:rPr>
  </w:style>
  <w:style w:type="paragraph" w:styleId="34">
    <w:name w:val="Title"/>
    <w:basedOn w:val="1"/>
    <w:next w:val="1"/>
    <w:link w:val="147"/>
    <w:qFormat/>
    <w:uiPriority w:val="0"/>
    <w:pPr>
      <w:spacing w:before="240" w:after="60"/>
      <w:jc w:val="center"/>
      <w:outlineLvl w:val="0"/>
    </w:pPr>
    <w:rPr>
      <w:rFonts w:asciiTheme="majorHAnsi" w:hAnsiTheme="majorHAnsi" w:eastAsiaTheme="majorEastAsia" w:cstheme="majorBidi"/>
      <w:b/>
      <w:bCs/>
      <w:sz w:val="32"/>
      <w:szCs w:val="32"/>
    </w:rPr>
  </w:style>
  <w:style w:type="table" w:styleId="36">
    <w:name w:val="Table Grid"/>
    <w:basedOn w:val="35"/>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8">
    <w:name w:val="Strong"/>
    <w:qFormat/>
    <w:uiPriority w:val="22"/>
    <w:rPr>
      <w:b/>
      <w:bCs/>
    </w:rPr>
  </w:style>
  <w:style w:type="character" w:styleId="39">
    <w:name w:val="endnote reference"/>
    <w:semiHidden/>
    <w:qFormat/>
    <w:uiPriority w:val="0"/>
    <w:rPr>
      <w:vertAlign w:val="superscript"/>
    </w:rPr>
  </w:style>
  <w:style w:type="character" w:styleId="40">
    <w:name w:val="page number"/>
    <w:qFormat/>
    <w:uiPriority w:val="0"/>
    <w:rPr>
      <w:rFonts w:ascii="Times New Roman" w:hAnsi="Times New Roman" w:eastAsia="宋体"/>
      <w:sz w:val="18"/>
    </w:rPr>
  </w:style>
  <w:style w:type="character" w:styleId="41">
    <w:name w:val="Hyperlink"/>
    <w:qFormat/>
    <w:uiPriority w:val="99"/>
    <w:rPr>
      <w:color w:val="0000FF"/>
      <w:spacing w:val="0"/>
      <w:w w:val="100"/>
      <w:szCs w:val="21"/>
      <w:u w:val="single"/>
    </w:rPr>
  </w:style>
  <w:style w:type="character" w:styleId="42">
    <w:name w:val="footnote reference"/>
    <w:semiHidden/>
    <w:qFormat/>
    <w:uiPriority w:val="0"/>
    <w:rPr>
      <w:vertAlign w:val="superscript"/>
    </w:rPr>
  </w:style>
  <w:style w:type="character" w:customStyle="1" w:styleId="43">
    <w:name w:val="段 Char"/>
    <w:link w:val="25"/>
    <w:qFormat/>
    <w:uiPriority w:val="0"/>
    <w:rPr>
      <w:rFonts w:ascii="宋体"/>
      <w:sz w:val="21"/>
      <w:lang w:val="en-US" w:eastAsia="zh-CN" w:bidi="ar-SA"/>
    </w:rPr>
  </w:style>
  <w:style w:type="paragraph" w:customStyle="1" w:styleId="44">
    <w:name w:val="一级条标题"/>
    <w:next w:val="25"/>
    <w:qFormat/>
    <w:uiPriority w:val="0"/>
    <w:pPr>
      <w:numPr>
        <w:ilvl w:val="1"/>
        <w:numId w:val="2"/>
      </w:numPr>
      <w:spacing w:beforeLines="50" w:afterLines="50"/>
      <w:ind w:left="142"/>
      <w:outlineLvl w:val="2"/>
    </w:pPr>
    <w:rPr>
      <w:rFonts w:ascii="黑体" w:hAnsi="Times New Roman" w:eastAsia="黑体" w:cs="Times New Roman"/>
      <w:sz w:val="21"/>
      <w:szCs w:val="21"/>
      <w:lang w:val="en-US" w:eastAsia="zh-CN" w:bidi="ar-SA"/>
    </w:rPr>
  </w:style>
  <w:style w:type="paragraph" w:customStyle="1" w:styleId="4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7">
    <w:name w:val="章标题"/>
    <w:next w:val="25"/>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8">
    <w:name w:val="二级条标题"/>
    <w:basedOn w:val="44"/>
    <w:next w:val="25"/>
    <w:qFormat/>
    <w:uiPriority w:val="0"/>
    <w:pPr>
      <w:numPr>
        <w:ilvl w:val="2"/>
      </w:numPr>
      <w:outlineLvl w:val="3"/>
    </w:pPr>
  </w:style>
  <w:style w:type="paragraph" w:customStyle="1" w:styleId="49">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0">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1">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2">
    <w:name w:val="目次、标准名称标题"/>
    <w:basedOn w:val="1"/>
    <w:next w:val="25"/>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3">
    <w:name w:val="三级条标题"/>
    <w:basedOn w:val="48"/>
    <w:next w:val="25"/>
    <w:qFormat/>
    <w:uiPriority w:val="0"/>
    <w:pPr>
      <w:numPr>
        <w:ilvl w:val="3"/>
      </w:numPr>
      <w:outlineLvl w:val="4"/>
    </w:pPr>
  </w:style>
  <w:style w:type="paragraph" w:customStyle="1" w:styleId="54">
    <w:name w:val="示例"/>
    <w:next w:val="55"/>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5">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6">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7">
    <w:name w:val="四级条标题"/>
    <w:basedOn w:val="53"/>
    <w:next w:val="25"/>
    <w:qFormat/>
    <w:uiPriority w:val="0"/>
    <w:pPr>
      <w:numPr>
        <w:ilvl w:val="4"/>
      </w:numPr>
      <w:outlineLvl w:val="5"/>
    </w:pPr>
  </w:style>
  <w:style w:type="paragraph" w:customStyle="1" w:styleId="58">
    <w:name w:val="五级条标题"/>
    <w:basedOn w:val="57"/>
    <w:next w:val="25"/>
    <w:qFormat/>
    <w:uiPriority w:val="0"/>
    <w:pPr>
      <w:numPr>
        <w:ilvl w:val="5"/>
      </w:numPr>
      <w:outlineLvl w:val="6"/>
    </w:pPr>
  </w:style>
  <w:style w:type="paragraph" w:customStyle="1" w:styleId="59">
    <w:name w:val="注："/>
    <w:next w:val="25"/>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0">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1">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2">
    <w:name w:val="列项◆（三级）"/>
    <w:basedOn w:val="1"/>
    <w:qFormat/>
    <w:uiPriority w:val="0"/>
    <w:pPr>
      <w:numPr>
        <w:ilvl w:val="2"/>
        <w:numId w:val="3"/>
      </w:numPr>
    </w:pPr>
    <w:rPr>
      <w:rFonts w:ascii="宋体"/>
      <w:szCs w:val="21"/>
    </w:rPr>
  </w:style>
  <w:style w:type="paragraph" w:customStyle="1" w:styleId="63">
    <w:name w:val="编号列项（三级）"/>
    <w:qFormat/>
    <w:uiPriority w:val="0"/>
    <w:rPr>
      <w:rFonts w:ascii="宋体" w:hAnsi="Times New Roman" w:eastAsia="宋体" w:cs="Times New Roman"/>
      <w:sz w:val="21"/>
      <w:lang w:val="en-US" w:eastAsia="zh-CN" w:bidi="ar-SA"/>
    </w:rPr>
  </w:style>
  <w:style w:type="paragraph" w:customStyle="1" w:styleId="64">
    <w:name w:val="示例×："/>
    <w:basedOn w:val="47"/>
    <w:qFormat/>
    <w:uiPriority w:val="0"/>
    <w:pPr>
      <w:numPr>
        <w:numId w:val="8"/>
      </w:numPr>
      <w:spacing w:beforeLines="0" w:afterLines="0"/>
      <w:outlineLvl w:val="9"/>
    </w:pPr>
    <w:rPr>
      <w:rFonts w:ascii="宋体" w:eastAsia="宋体"/>
      <w:sz w:val="18"/>
      <w:szCs w:val="18"/>
    </w:rPr>
  </w:style>
  <w:style w:type="paragraph" w:customStyle="1" w:styleId="65">
    <w:name w:val="二级无"/>
    <w:basedOn w:val="48"/>
    <w:qFormat/>
    <w:uiPriority w:val="0"/>
    <w:pPr>
      <w:spacing w:beforeLines="0" w:afterLines="0"/>
    </w:pPr>
    <w:rPr>
      <w:rFonts w:ascii="宋体" w:eastAsia="宋体"/>
    </w:rPr>
  </w:style>
  <w:style w:type="paragraph" w:customStyle="1" w:styleId="66">
    <w:name w:val="注：（正文）"/>
    <w:basedOn w:val="59"/>
    <w:next w:val="25"/>
    <w:qFormat/>
    <w:uiPriority w:val="0"/>
    <w:pPr>
      <w:numPr>
        <w:ilvl w:val="0"/>
        <w:numId w:val="9"/>
      </w:numPr>
    </w:pPr>
  </w:style>
  <w:style w:type="paragraph" w:customStyle="1" w:styleId="67">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8">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9">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1">
    <w:name w:val="标准书眉_偶数页"/>
    <w:basedOn w:val="46"/>
    <w:next w:val="1"/>
    <w:qFormat/>
    <w:uiPriority w:val="0"/>
    <w:pPr>
      <w:jc w:val="left"/>
    </w:pPr>
  </w:style>
  <w:style w:type="paragraph" w:customStyle="1" w:styleId="72">
    <w:name w:val="标准书眉一"/>
    <w:qFormat/>
    <w:uiPriority w:val="0"/>
    <w:pPr>
      <w:jc w:val="both"/>
    </w:pPr>
    <w:rPr>
      <w:rFonts w:ascii="Times New Roman" w:hAnsi="Times New Roman" w:eastAsia="宋体" w:cs="Times New Roman"/>
      <w:lang w:val="en-US" w:eastAsia="zh-CN" w:bidi="ar-SA"/>
    </w:rPr>
  </w:style>
  <w:style w:type="paragraph" w:customStyle="1" w:styleId="73">
    <w:name w:val="参考文献"/>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4">
    <w:name w:val="参考文献、索引标题"/>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5">
    <w:name w:val="发布"/>
    <w:qFormat/>
    <w:uiPriority w:val="0"/>
    <w:rPr>
      <w:rFonts w:ascii="黑体" w:eastAsia="黑体"/>
      <w:spacing w:val="85"/>
      <w:w w:val="100"/>
      <w:position w:val="3"/>
      <w:sz w:val="28"/>
      <w:szCs w:val="28"/>
    </w:rPr>
  </w:style>
  <w:style w:type="paragraph" w:customStyle="1" w:styleId="76">
    <w:name w:val="发布部门"/>
    <w:next w:val="25"/>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7">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8">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0">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1">
    <w:name w:val="封面标准英文名称"/>
    <w:basedOn w:val="80"/>
    <w:qFormat/>
    <w:uiPriority w:val="0"/>
    <w:pPr>
      <w:spacing w:before="370" w:line="400" w:lineRule="exact"/>
    </w:pPr>
    <w:rPr>
      <w:rFonts w:ascii="Times New Roman"/>
      <w:sz w:val="28"/>
      <w:szCs w:val="28"/>
    </w:rPr>
  </w:style>
  <w:style w:type="paragraph" w:customStyle="1" w:styleId="82">
    <w:name w:val="封面一致性程度标识"/>
    <w:basedOn w:val="81"/>
    <w:qFormat/>
    <w:uiPriority w:val="0"/>
    <w:pPr>
      <w:spacing w:before="440"/>
    </w:pPr>
    <w:rPr>
      <w:rFonts w:ascii="宋体" w:eastAsia="宋体"/>
    </w:rPr>
  </w:style>
  <w:style w:type="paragraph" w:customStyle="1" w:styleId="83">
    <w:name w:val="封面标准文稿类别"/>
    <w:basedOn w:val="82"/>
    <w:qFormat/>
    <w:uiPriority w:val="0"/>
    <w:pPr>
      <w:spacing w:after="160" w:line="240" w:lineRule="auto"/>
    </w:pPr>
    <w:rPr>
      <w:sz w:val="24"/>
    </w:rPr>
  </w:style>
  <w:style w:type="paragraph" w:customStyle="1" w:styleId="84">
    <w:name w:val="封面标准文稿编辑信息"/>
    <w:basedOn w:val="83"/>
    <w:qFormat/>
    <w:uiPriority w:val="0"/>
    <w:pPr>
      <w:spacing w:before="180" w:line="180" w:lineRule="exact"/>
    </w:pPr>
    <w:rPr>
      <w:sz w:val="21"/>
    </w:rPr>
  </w:style>
  <w:style w:type="paragraph" w:customStyle="1" w:styleId="85">
    <w:name w:val="封面正文"/>
    <w:qFormat/>
    <w:uiPriority w:val="0"/>
    <w:pPr>
      <w:jc w:val="both"/>
    </w:pPr>
    <w:rPr>
      <w:rFonts w:ascii="Times New Roman" w:hAnsi="Times New Roman" w:eastAsia="宋体" w:cs="Times New Roman"/>
      <w:lang w:val="en-US" w:eastAsia="zh-CN" w:bidi="ar-SA"/>
    </w:rPr>
  </w:style>
  <w:style w:type="paragraph" w:customStyle="1" w:styleId="86">
    <w:name w:val="附录标识"/>
    <w:basedOn w:val="1"/>
    <w:next w:val="25"/>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7">
    <w:name w:val="附录标题"/>
    <w:basedOn w:val="25"/>
    <w:next w:val="25"/>
    <w:qFormat/>
    <w:uiPriority w:val="0"/>
    <w:pPr>
      <w:ind w:firstLine="0" w:firstLineChars="0"/>
      <w:jc w:val="center"/>
    </w:pPr>
    <w:rPr>
      <w:rFonts w:ascii="黑体" w:eastAsia="黑体"/>
    </w:rPr>
  </w:style>
  <w:style w:type="paragraph" w:customStyle="1" w:styleId="88">
    <w:name w:val="附录表标号"/>
    <w:basedOn w:val="1"/>
    <w:next w:val="25"/>
    <w:qFormat/>
    <w:uiPriority w:val="0"/>
    <w:pPr>
      <w:numPr>
        <w:ilvl w:val="0"/>
        <w:numId w:val="12"/>
      </w:numPr>
      <w:spacing w:line="14" w:lineRule="exact"/>
      <w:ind w:left="811" w:hanging="448"/>
      <w:jc w:val="center"/>
      <w:outlineLvl w:val="0"/>
    </w:pPr>
    <w:rPr>
      <w:color w:val="FFFFFF"/>
    </w:rPr>
  </w:style>
  <w:style w:type="paragraph" w:customStyle="1" w:styleId="89">
    <w:name w:val="附录表标题"/>
    <w:basedOn w:val="1"/>
    <w:next w:val="25"/>
    <w:qFormat/>
    <w:uiPriority w:val="0"/>
    <w:pPr>
      <w:numPr>
        <w:ilvl w:val="1"/>
        <w:numId w:val="12"/>
      </w:numPr>
      <w:tabs>
        <w:tab w:val="left" w:pos="180"/>
      </w:tabs>
      <w:spacing w:beforeLines="50" w:afterLines="50"/>
      <w:ind w:left="0" w:firstLine="0"/>
      <w:jc w:val="center"/>
    </w:pPr>
    <w:rPr>
      <w:rFonts w:ascii="黑体" w:eastAsia="黑体"/>
      <w:szCs w:val="21"/>
    </w:rPr>
  </w:style>
  <w:style w:type="paragraph" w:customStyle="1" w:styleId="90">
    <w:name w:val="附录二级条标题"/>
    <w:basedOn w:val="1"/>
    <w:next w:val="25"/>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1">
    <w:name w:val="附录二级无"/>
    <w:basedOn w:val="90"/>
    <w:qFormat/>
    <w:uiPriority w:val="0"/>
    <w:pPr>
      <w:tabs>
        <w:tab w:val="clear" w:pos="360"/>
      </w:tabs>
      <w:spacing w:beforeLines="0" w:afterLines="0"/>
    </w:pPr>
    <w:rPr>
      <w:rFonts w:ascii="宋体" w:eastAsia="宋体"/>
      <w:szCs w:val="21"/>
    </w:rPr>
  </w:style>
  <w:style w:type="paragraph" w:customStyle="1" w:styleId="92">
    <w:name w:val="附录公式"/>
    <w:basedOn w:val="25"/>
    <w:next w:val="25"/>
    <w:link w:val="93"/>
    <w:qFormat/>
    <w:uiPriority w:val="0"/>
  </w:style>
  <w:style w:type="character" w:customStyle="1" w:styleId="93">
    <w:name w:val="附录公式 Char"/>
    <w:basedOn w:val="43"/>
    <w:link w:val="92"/>
    <w:qFormat/>
    <w:uiPriority w:val="0"/>
    <w:rPr>
      <w:rFonts w:ascii="宋体"/>
      <w:sz w:val="21"/>
      <w:lang w:val="en-US" w:eastAsia="zh-CN" w:bidi="ar-SA"/>
    </w:rPr>
  </w:style>
  <w:style w:type="paragraph" w:customStyle="1" w:styleId="94">
    <w:name w:val="附录公式编号制表符"/>
    <w:basedOn w:val="1"/>
    <w:next w:val="25"/>
    <w:qFormat/>
    <w:uiPriority w:val="0"/>
    <w:pPr>
      <w:widowControl/>
      <w:tabs>
        <w:tab w:val="center" w:pos="4201"/>
        <w:tab w:val="right" w:leader="dot" w:pos="9298"/>
      </w:tabs>
      <w:autoSpaceDE w:val="0"/>
      <w:autoSpaceDN w:val="0"/>
    </w:pPr>
    <w:rPr>
      <w:rFonts w:ascii="宋体"/>
      <w:kern w:val="0"/>
      <w:szCs w:val="20"/>
    </w:rPr>
  </w:style>
  <w:style w:type="paragraph" w:customStyle="1" w:styleId="95">
    <w:name w:val="附录三级条标题"/>
    <w:basedOn w:val="90"/>
    <w:next w:val="25"/>
    <w:qFormat/>
    <w:uiPriority w:val="0"/>
    <w:pPr>
      <w:numPr>
        <w:ilvl w:val="4"/>
      </w:numPr>
      <w:outlineLvl w:val="4"/>
    </w:pPr>
  </w:style>
  <w:style w:type="paragraph" w:customStyle="1" w:styleId="96">
    <w:name w:val="附录三级无"/>
    <w:basedOn w:val="95"/>
    <w:qFormat/>
    <w:uiPriority w:val="0"/>
    <w:pPr>
      <w:tabs>
        <w:tab w:val="clear" w:pos="360"/>
      </w:tabs>
      <w:spacing w:beforeLines="0" w:afterLines="0"/>
    </w:pPr>
    <w:rPr>
      <w:rFonts w:ascii="宋体" w:eastAsia="宋体"/>
      <w:szCs w:val="21"/>
    </w:rPr>
  </w:style>
  <w:style w:type="paragraph" w:customStyle="1" w:styleId="97">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98">
    <w:name w:val="附录四级条标题"/>
    <w:basedOn w:val="95"/>
    <w:next w:val="25"/>
    <w:qFormat/>
    <w:uiPriority w:val="0"/>
    <w:pPr>
      <w:numPr>
        <w:ilvl w:val="5"/>
      </w:numPr>
      <w:outlineLvl w:val="5"/>
    </w:pPr>
  </w:style>
  <w:style w:type="paragraph" w:customStyle="1" w:styleId="99">
    <w:name w:val="附录四级无"/>
    <w:basedOn w:val="98"/>
    <w:qFormat/>
    <w:uiPriority w:val="0"/>
    <w:pPr>
      <w:tabs>
        <w:tab w:val="clear" w:pos="360"/>
      </w:tabs>
      <w:spacing w:beforeLines="0" w:afterLines="0"/>
    </w:pPr>
    <w:rPr>
      <w:rFonts w:ascii="宋体" w:eastAsia="宋体"/>
      <w:szCs w:val="21"/>
    </w:rPr>
  </w:style>
  <w:style w:type="paragraph" w:customStyle="1" w:styleId="100">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1">
    <w:name w:val="附录图标题"/>
    <w:basedOn w:val="1"/>
    <w:next w:val="25"/>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102">
    <w:name w:val="附录五级条标题"/>
    <w:basedOn w:val="98"/>
    <w:next w:val="25"/>
    <w:qFormat/>
    <w:uiPriority w:val="0"/>
    <w:pPr>
      <w:numPr>
        <w:ilvl w:val="6"/>
      </w:numPr>
      <w:outlineLvl w:val="6"/>
    </w:pPr>
  </w:style>
  <w:style w:type="paragraph" w:customStyle="1" w:styleId="103">
    <w:name w:val="附录五级无"/>
    <w:basedOn w:val="102"/>
    <w:qFormat/>
    <w:uiPriority w:val="0"/>
    <w:pPr>
      <w:tabs>
        <w:tab w:val="clear" w:pos="360"/>
      </w:tabs>
      <w:spacing w:beforeLines="0" w:afterLines="0"/>
    </w:pPr>
    <w:rPr>
      <w:rFonts w:ascii="宋体" w:eastAsia="宋体"/>
      <w:szCs w:val="21"/>
    </w:rPr>
  </w:style>
  <w:style w:type="paragraph" w:customStyle="1" w:styleId="104">
    <w:name w:val="附录章标题"/>
    <w:next w:val="25"/>
    <w:qFormat/>
    <w:uiPriority w:val="0"/>
    <w:pPr>
      <w:numPr>
        <w:ilvl w:val="1"/>
        <w:numId w:val="11"/>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5">
    <w:name w:val="附录一级条标题"/>
    <w:basedOn w:val="104"/>
    <w:next w:val="25"/>
    <w:qFormat/>
    <w:uiPriority w:val="0"/>
    <w:pPr>
      <w:numPr>
        <w:ilvl w:val="2"/>
      </w:numPr>
      <w:autoSpaceDN w:val="0"/>
      <w:spacing w:beforeLines="50" w:afterLines="50"/>
      <w:ind w:left="0"/>
      <w:outlineLvl w:val="2"/>
    </w:pPr>
  </w:style>
  <w:style w:type="paragraph" w:customStyle="1" w:styleId="106">
    <w:name w:val="附录一级无"/>
    <w:basedOn w:val="105"/>
    <w:qFormat/>
    <w:uiPriority w:val="0"/>
    <w:pPr>
      <w:tabs>
        <w:tab w:val="clear" w:pos="360"/>
      </w:tabs>
      <w:spacing w:beforeLines="0" w:afterLines="0"/>
      <w:ind w:left="284"/>
    </w:pPr>
    <w:rPr>
      <w:rFonts w:ascii="宋体" w:eastAsia="宋体"/>
      <w:szCs w:val="21"/>
    </w:rPr>
  </w:style>
  <w:style w:type="paragraph" w:customStyle="1" w:styleId="107">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08">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9">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0">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1">
    <w:name w:val="其他标准标志"/>
    <w:basedOn w:val="68"/>
    <w:qFormat/>
    <w:uiPriority w:val="0"/>
    <w:pPr>
      <w:framePr w:w="6101" w:vAnchor="page" w:hAnchor="page" w:x="4673" w:y="942"/>
    </w:pPr>
    <w:rPr>
      <w:w w:val="130"/>
    </w:rPr>
  </w:style>
  <w:style w:type="paragraph" w:customStyle="1" w:styleId="11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3">
    <w:name w:val="其他发布部门"/>
    <w:basedOn w:val="76"/>
    <w:qFormat/>
    <w:uiPriority w:val="0"/>
    <w:pPr>
      <w:framePr w:y="15310"/>
      <w:spacing w:line="0" w:lineRule="atLeast"/>
    </w:pPr>
    <w:rPr>
      <w:rFonts w:ascii="黑体" w:eastAsia="黑体"/>
      <w:b w:val="0"/>
    </w:rPr>
  </w:style>
  <w:style w:type="paragraph" w:customStyle="1" w:styleId="114">
    <w:name w:val="前言、引言标题"/>
    <w:next w:val="25"/>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5">
    <w:name w:val="三级无"/>
    <w:basedOn w:val="53"/>
    <w:qFormat/>
    <w:uiPriority w:val="0"/>
    <w:pPr>
      <w:spacing w:beforeLines="0" w:afterLines="0"/>
    </w:pPr>
    <w:rPr>
      <w:rFonts w:asciiTheme="minorEastAsia" w:hAnsiTheme="minorEastAsia" w:eastAsiaTheme="minorEastAsia"/>
    </w:rPr>
  </w:style>
  <w:style w:type="paragraph" w:customStyle="1" w:styleId="116">
    <w:name w:val="实施日期"/>
    <w:basedOn w:val="77"/>
    <w:qFormat/>
    <w:uiPriority w:val="0"/>
    <w:pPr>
      <w:framePr w:vAnchor="page" w:hAnchor="text"/>
      <w:jc w:val="right"/>
    </w:pPr>
  </w:style>
  <w:style w:type="paragraph" w:customStyle="1" w:styleId="117">
    <w:name w:val="示例后文字"/>
    <w:basedOn w:val="25"/>
    <w:next w:val="25"/>
    <w:qFormat/>
    <w:uiPriority w:val="0"/>
    <w:pPr>
      <w:ind w:firstLine="360"/>
    </w:pPr>
    <w:rPr>
      <w:sz w:val="18"/>
    </w:rPr>
  </w:style>
  <w:style w:type="paragraph" w:customStyle="1" w:styleId="118">
    <w:name w:val="首示例"/>
    <w:next w:val="25"/>
    <w:link w:val="119"/>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19">
    <w:name w:val="首示例 Char"/>
    <w:link w:val="118"/>
    <w:qFormat/>
    <w:uiPriority w:val="0"/>
    <w:rPr>
      <w:rFonts w:ascii="宋体" w:hAnsi="宋体"/>
      <w:kern w:val="2"/>
      <w:sz w:val="18"/>
      <w:szCs w:val="18"/>
    </w:rPr>
  </w:style>
  <w:style w:type="paragraph" w:customStyle="1" w:styleId="120">
    <w:name w:val="四级无"/>
    <w:basedOn w:val="57"/>
    <w:qFormat/>
    <w:uiPriority w:val="0"/>
    <w:pPr>
      <w:spacing w:beforeLines="0" w:afterLines="0"/>
    </w:pPr>
    <w:rPr>
      <w:rFonts w:asciiTheme="minorEastAsia" w:hAnsiTheme="minorEastAsia" w:eastAsiaTheme="minorEastAsia"/>
    </w:rPr>
  </w:style>
  <w:style w:type="paragraph" w:customStyle="1" w:styleId="121">
    <w:name w:val="条文脚注"/>
    <w:basedOn w:val="26"/>
    <w:qFormat/>
    <w:uiPriority w:val="0"/>
    <w:pPr>
      <w:numPr>
        <w:numId w:val="0"/>
      </w:numPr>
      <w:jc w:val="both"/>
    </w:pPr>
  </w:style>
  <w:style w:type="paragraph" w:customStyle="1" w:styleId="122">
    <w:name w:val="图标脚注说明"/>
    <w:basedOn w:val="25"/>
    <w:qFormat/>
    <w:uiPriority w:val="0"/>
    <w:pPr>
      <w:ind w:left="840" w:hanging="420" w:firstLineChars="0"/>
    </w:pPr>
    <w:rPr>
      <w:sz w:val="18"/>
      <w:szCs w:val="18"/>
    </w:rPr>
  </w:style>
  <w:style w:type="paragraph" w:customStyle="1" w:styleId="123">
    <w:name w:val="图表脚注说明"/>
    <w:basedOn w:val="1"/>
    <w:qFormat/>
    <w:uiPriority w:val="0"/>
    <w:pPr>
      <w:numPr>
        <w:ilvl w:val="0"/>
        <w:numId w:val="16"/>
      </w:numPr>
    </w:pPr>
    <w:rPr>
      <w:rFonts w:ascii="宋体"/>
      <w:sz w:val="18"/>
      <w:szCs w:val="18"/>
    </w:rPr>
  </w:style>
  <w:style w:type="paragraph" w:customStyle="1" w:styleId="124">
    <w:name w:val="图的脚注"/>
    <w:next w:val="25"/>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6">
    <w:name w:val="五级无"/>
    <w:basedOn w:val="58"/>
    <w:qFormat/>
    <w:uiPriority w:val="0"/>
    <w:pPr>
      <w:spacing w:beforeLines="0" w:afterLines="0"/>
    </w:pPr>
    <w:rPr>
      <w:rFonts w:asciiTheme="minorEastAsia" w:hAnsiTheme="minorEastAsia" w:eastAsiaTheme="minorEastAsia"/>
    </w:rPr>
  </w:style>
  <w:style w:type="paragraph" w:customStyle="1" w:styleId="127">
    <w:name w:val="一级无"/>
    <w:basedOn w:val="44"/>
    <w:qFormat/>
    <w:uiPriority w:val="0"/>
    <w:pPr>
      <w:numPr>
        <w:ilvl w:val="0"/>
        <w:numId w:val="0"/>
      </w:numPr>
      <w:spacing w:beforeLines="0" w:afterLines="0"/>
    </w:pPr>
    <w:rPr>
      <w:rFonts w:hAnsi="黑体"/>
    </w:rPr>
  </w:style>
  <w:style w:type="character" w:customStyle="1" w:styleId="128">
    <w:name w:val="已访问的超链接1"/>
    <w:qFormat/>
    <w:uiPriority w:val="0"/>
    <w:rPr>
      <w:color w:val="800080"/>
      <w:u w:val="single"/>
    </w:rPr>
  </w:style>
  <w:style w:type="paragraph" w:customStyle="1" w:styleId="129">
    <w:name w:val="正文表标题"/>
    <w:next w:val="25"/>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0">
    <w:name w:val="正文公式编号制表符"/>
    <w:basedOn w:val="25"/>
    <w:next w:val="25"/>
    <w:qFormat/>
    <w:uiPriority w:val="0"/>
    <w:pPr>
      <w:ind w:firstLine="0" w:firstLineChars="0"/>
    </w:pPr>
  </w:style>
  <w:style w:type="paragraph" w:customStyle="1" w:styleId="131">
    <w:name w:val="正文图标题"/>
    <w:next w:val="25"/>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2">
    <w:name w:val="终结线"/>
    <w:basedOn w:val="1"/>
    <w:qFormat/>
    <w:uiPriority w:val="0"/>
    <w:pPr>
      <w:framePr w:hSpace="181" w:vSpace="181" w:wrap="around" w:vAnchor="text" w:hAnchor="margin" w:xAlign="center" w:y="285"/>
    </w:pPr>
  </w:style>
  <w:style w:type="paragraph" w:customStyle="1" w:styleId="133">
    <w:name w:val="其他发布日期"/>
    <w:basedOn w:val="77"/>
    <w:qFormat/>
    <w:uiPriority w:val="0"/>
    <w:pPr>
      <w:framePr w:vAnchor="page" w:hAnchor="text" w:x="1419"/>
    </w:pPr>
  </w:style>
  <w:style w:type="paragraph" w:customStyle="1" w:styleId="134">
    <w:name w:val="其他实施日期"/>
    <w:basedOn w:val="116"/>
    <w:qFormat/>
    <w:uiPriority w:val="0"/>
  </w:style>
  <w:style w:type="paragraph" w:customStyle="1" w:styleId="135">
    <w:name w:val="封面标准名称2"/>
    <w:basedOn w:val="80"/>
    <w:qFormat/>
    <w:uiPriority w:val="0"/>
    <w:pPr>
      <w:framePr w:y="4469"/>
      <w:spacing w:beforeLines="630"/>
    </w:pPr>
  </w:style>
  <w:style w:type="paragraph" w:customStyle="1" w:styleId="136">
    <w:name w:val="封面标准英文名称2"/>
    <w:basedOn w:val="81"/>
    <w:qFormat/>
    <w:uiPriority w:val="0"/>
    <w:pPr>
      <w:framePr w:y="4469"/>
    </w:pPr>
  </w:style>
  <w:style w:type="paragraph" w:customStyle="1" w:styleId="137">
    <w:name w:val="封面一致性程度标识2"/>
    <w:basedOn w:val="82"/>
    <w:qFormat/>
    <w:uiPriority w:val="0"/>
    <w:pPr>
      <w:framePr w:y="4469"/>
    </w:pPr>
  </w:style>
  <w:style w:type="paragraph" w:customStyle="1" w:styleId="138">
    <w:name w:val="封面标准文稿类别2"/>
    <w:basedOn w:val="83"/>
    <w:qFormat/>
    <w:uiPriority w:val="0"/>
    <w:pPr>
      <w:framePr w:y="4469"/>
    </w:pPr>
  </w:style>
  <w:style w:type="paragraph" w:customStyle="1" w:styleId="139">
    <w:name w:val="封面标准文稿编辑信息2"/>
    <w:basedOn w:val="84"/>
    <w:qFormat/>
    <w:uiPriority w:val="0"/>
    <w:pPr>
      <w:framePr w:y="4469"/>
    </w:pPr>
  </w:style>
  <w:style w:type="paragraph" w:customStyle="1" w:styleId="140">
    <w:name w:val="列出段落1"/>
    <w:basedOn w:val="1"/>
    <w:qFormat/>
    <w:uiPriority w:val="34"/>
    <w:pPr>
      <w:ind w:firstLine="420" w:firstLineChars="200"/>
    </w:pPr>
    <w:rPr>
      <w:rFonts w:ascii="Calibri" w:hAnsi="Calibri"/>
      <w:sz w:val="28"/>
      <w:szCs w:val="22"/>
    </w:rPr>
  </w:style>
  <w:style w:type="character" w:customStyle="1" w:styleId="141">
    <w:name w:val="标题 2 Char"/>
    <w:link w:val="3"/>
    <w:qFormat/>
    <w:uiPriority w:val="9"/>
    <w:rPr>
      <w:rFonts w:ascii="Cambria" w:hAnsi="Cambria" w:eastAsia="宋体" w:cs="Times New Roman"/>
      <w:b/>
      <w:bCs/>
      <w:kern w:val="2"/>
      <w:sz w:val="32"/>
      <w:szCs w:val="32"/>
    </w:rPr>
  </w:style>
  <w:style w:type="character" w:customStyle="1" w:styleId="142">
    <w:name w:val="标题 3 Char"/>
    <w:link w:val="4"/>
    <w:qFormat/>
    <w:uiPriority w:val="9"/>
    <w:rPr>
      <w:rFonts w:ascii="Calibri" w:hAnsi="Calibri" w:eastAsia="宋体" w:cs="Times New Roman"/>
      <w:b/>
      <w:bCs/>
      <w:kern w:val="2"/>
      <w:sz w:val="32"/>
      <w:szCs w:val="32"/>
    </w:rPr>
  </w:style>
  <w:style w:type="character" w:customStyle="1" w:styleId="143">
    <w:name w:val="批注框文本 Char"/>
    <w:link w:val="18"/>
    <w:qFormat/>
    <w:uiPriority w:val="0"/>
    <w:rPr>
      <w:kern w:val="2"/>
      <w:sz w:val="18"/>
      <w:szCs w:val="18"/>
    </w:rPr>
  </w:style>
  <w:style w:type="character" w:customStyle="1" w:styleId="144">
    <w:name w:val="标题 1 Char"/>
    <w:link w:val="2"/>
    <w:qFormat/>
    <w:uiPriority w:val="0"/>
    <w:rPr>
      <w:b/>
      <w:bCs/>
      <w:kern w:val="44"/>
      <w:sz w:val="44"/>
      <w:szCs w:val="44"/>
    </w:rPr>
  </w:style>
  <w:style w:type="paragraph" w:customStyle="1" w:styleId="145">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6">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47">
    <w:name w:val="标题 Char"/>
    <w:basedOn w:val="37"/>
    <w:link w:val="34"/>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jiangguie/C:\Users\Administrator\Desktop\2020&#22320;&#26631;\&#27827;&#21271;&#30465;&#22320;&#26041;&#26631;&#20934;&#65288;&#24066;&#22330;&#30417;&#31649;&#23616;%202020&#29256;&#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河北省地方标准（市场监管局 2020版）</Template>
  <Company>zle</Company>
  <Pages>8</Pages>
  <Words>376</Words>
  <Characters>2144</Characters>
  <Lines>17</Lines>
  <Paragraphs>5</Paragraphs>
  <TotalTime>15</TotalTime>
  <ScaleCrop>false</ScaleCrop>
  <LinksUpToDate>false</LinksUpToDate>
  <CharactersWithSpaces>2515</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2021-07-03T03:28:00Z</dcterms:created>
  <dc:creator>Administrator</dc:creator>
  <cp:lastModifiedBy>jiangguie</cp:lastModifiedBy>
  <cp:lastPrinted>2021-07-03T09:20:00Z</cp:lastPrinted>
  <dcterms:modified xsi:type="dcterms:W3CDTF">2022-06-10T11:21:27Z</dcterms:modified>
  <dc:title>标准名称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