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4"/>
        <w:framePr w:wrap="around"/>
        <w:rPr>
          <w:color w:val="000000" w:themeColor="text1"/>
          <w14:textFill>
            <w14:solidFill>
              <w14:schemeClr w14:val="tx1"/>
            </w14:solidFill>
          </w14:textFill>
        </w:rPr>
      </w:pPr>
      <w:bookmarkStart w:id="0" w:name="WXFLH"/>
      <w:r>
        <w:rPr>
          <w:rFonts w:ascii="Times New Roman"/>
          <w:color w:val="000000" w:themeColor="text1"/>
          <w14:textFill>
            <w14:solidFill>
              <w14:schemeClr w14:val="tx1"/>
            </w14:solidFill>
          </w14:textFill>
        </w:rPr>
        <w:t>ICS</w:t>
      </w:r>
      <w:r>
        <w:rPr>
          <w:rFonts w:hAnsi="黑体"/>
          <w:color w:val="000000" w:themeColor="text1"/>
          <w14:textFill>
            <w14:solidFill>
              <w14:schemeClr w14:val="tx1"/>
            </w14:solidFill>
          </w14:textFill>
        </w:rPr>
        <w:t> </w:t>
      </w:r>
      <w:r>
        <w:rPr>
          <w:color w:val="000000" w:themeColor="text1"/>
          <w14:textFill>
            <w14:solidFill>
              <w14:schemeClr w14:val="tx1"/>
            </w14:solidFill>
          </w14:textFill>
        </w:rPr>
        <w:t xml:space="preserve">03.100.01 </w:t>
      </w:r>
    </w:p>
    <w:p>
      <w:pPr>
        <w:pStyle w:val="124"/>
        <w:framePr w:wrap="around"/>
        <w:rPr>
          <w:color w:val="000000" w:themeColor="text1"/>
          <w14:textFill>
            <w14:solidFill>
              <w14:schemeClr w14:val="tx1"/>
            </w14:solidFill>
          </w14:textFill>
        </w:rPr>
      </w:pPr>
      <w:r>
        <w:rPr>
          <w:color w:val="000000" w:themeColor="text1"/>
          <w14:textFill>
            <w14:solidFill>
              <w14:schemeClr w14:val="tx1"/>
            </w14:solidFill>
          </w14:textFill>
        </w:rPr>
        <w:t>A 02</w:t>
      </w:r>
      <w:bookmarkEnd w:id="0"/>
      <w:r>
        <w:rPr>
          <w:color w:val="000000" w:themeColor="text1"/>
          <w14:textFill>
            <w14:solidFill>
              <w14:schemeClr w14:val="tx1"/>
            </w14:solidFill>
          </w14:textFill>
        </w:rPr>
        <w:t xml:space="preserve"> </w:t>
      </w:r>
    </w:p>
    <w:p>
      <w:pPr>
        <w:pStyle w:val="124"/>
        <w:framePr w:wrap="around"/>
        <w:rPr>
          <w:color w:val="000000" w:themeColor="text1"/>
          <w14:textFill>
            <w14:solidFill>
              <w14:schemeClr w14:val="tx1"/>
            </w14:solidFill>
          </w14:textFill>
        </w:rPr>
      </w:pPr>
    </w:p>
    <w:p>
      <w:pPr>
        <w:pStyle w:val="110"/>
        <w:framePr w:wrap="around"/>
        <w:rPr>
          <w:color w:val="000000" w:themeColor="text1"/>
          <w14:textFill>
            <w14:solidFill>
              <w14:schemeClr w14:val="tx1"/>
            </w14:solidFill>
          </w14:textFill>
        </w:rPr>
      </w:pPr>
      <w:r>
        <w:rPr>
          <w:color w:val="000000" w:themeColor="text1"/>
          <w14:textFill>
            <w14:solidFill>
              <w14:schemeClr w14:val="tx1"/>
            </w14:solidFill>
          </w14:textFill>
        </w:rPr>
        <w:t>DB</w:t>
      </w:r>
      <w:bookmarkStart w:id="1" w:name="c3"/>
      <w:r>
        <w:rPr>
          <w:color w:val="000000" w:themeColor="text1"/>
          <w14:textFill>
            <w14:solidFill>
              <w14:schemeClr w14:val="tx1"/>
            </w14:solidFill>
          </w14:textFill>
        </w:rPr>
        <w:t>13</w:t>
      </w:r>
      <w:bookmarkEnd w:id="1"/>
    </w:p>
    <w:p>
      <w:pPr>
        <w:pStyle w:val="111"/>
        <w:framePr w:wrap="around"/>
        <w:rPr>
          <w:color w:val="000000" w:themeColor="text1"/>
          <w14:textFill>
            <w14:solidFill>
              <w14:schemeClr w14:val="tx1"/>
            </w14:solidFill>
          </w14:textFill>
        </w:rPr>
      </w:pPr>
      <w:bookmarkStart w:id="2" w:name="c4"/>
      <w:r>
        <w:rPr>
          <w:rFonts w:hint="eastAsia"/>
          <w:color w:val="000000" w:themeColor="text1"/>
          <w14:textFill>
            <w14:solidFill>
              <w14:schemeClr w14:val="tx1"/>
            </w14:solidFill>
          </w14:textFill>
        </w:rPr>
        <w:t>河北省</w:t>
      </w:r>
      <w:bookmarkEnd w:id="2"/>
      <w:r>
        <w:rPr>
          <w:rFonts w:hint="eastAsia"/>
          <w:color w:val="000000" w:themeColor="text1"/>
          <w14:textFill>
            <w14:solidFill>
              <w14:schemeClr w14:val="tx1"/>
            </w14:solidFill>
          </w14:textFill>
        </w:rPr>
        <w:t>地方标准</w:t>
      </w:r>
    </w:p>
    <w:p>
      <w:pPr>
        <w:pStyle w:val="48"/>
        <w:framePr w:wrap="around"/>
        <w:rPr>
          <w:rFonts w:hAnsi="黑体"/>
          <w:color w:val="000000" w:themeColor="text1"/>
          <w14:textFill>
            <w14:solidFill>
              <w14:schemeClr w14:val="tx1"/>
            </w14:solidFill>
          </w14:textFill>
        </w:rPr>
      </w:pPr>
      <w:r>
        <w:rPr>
          <w:rFonts w:ascii="Times New Roman"/>
          <w:color w:val="000000" w:themeColor="text1"/>
          <w14:textFill>
            <w14:solidFill>
              <w14:schemeClr w14:val="tx1"/>
            </w14:solidFill>
          </w14:textFill>
        </w:rPr>
        <w:t xml:space="preserve">DB </w:t>
      </w:r>
      <w:bookmarkStart w:id="3" w:name="StdNo0"/>
      <w:r>
        <w:rPr>
          <w:rFonts w:hAnsi="黑体"/>
          <w:color w:val="000000" w:themeColor="text1"/>
          <w14:textFill>
            <w14:solidFill>
              <w14:schemeClr w14:val="tx1"/>
            </w14:solidFill>
          </w14:textFill>
        </w:rPr>
        <w:fldChar w:fldCharType="begin">
          <w:ffData>
            <w:name w:val="StdNo0"/>
            <w:enabled/>
            <w:calcOnExit w:val="0"/>
            <w:textInput>
              <w:default w:val="XX"/>
              <w:maxLength w:val="2"/>
            </w:textInput>
          </w:ffData>
        </w:fldChar>
      </w:r>
      <w:r>
        <w:rPr>
          <w:rFonts w:hAnsi="黑体"/>
          <w:color w:val="000000" w:themeColor="text1"/>
          <w14:textFill>
            <w14:solidFill>
              <w14:schemeClr w14:val="tx1"/>
            </w14:solidFill>
          </w14:textFill>
        </w:rPr>
        <w:instrText xml:space="preserve"> FORMTEXT </w:instrText>
      </w:r>
      <w:r>
        <w:rPr>
          <w:rFonts w:hAnsi="黑体"/>
          <w:color w:val="000000" w:themeColor="text1"/>
          <w14:textFill>
            <w14:solidFill>
              <w14:schemeClr w14:val="tx1"/>
            </w14:solidFill>
          </w14:textFill>
        </w:rPr>
        <w:fldChar w:fldCharType="separate"/>
      </w:r>
      <w:r>
        <w:rPr>
          <w:rFonts w:hAnsi="黑体"/>
          <w:color w:val="000000" w:themeColor="text1"/>
          <w14:textFill>
            <w14:solidFill>
              <w14:schemeClr w14:val="tx1"/>
            </w14:solidFill>
          </w14:textFill>
        </w:rPr>
        <w:t>13</w:t>
      </w:r>
      <w:r>
        <w:rPr>
          <w:rFonts w:hAnsi="黑体"/>
          <w:color w:val="000000" w:themeColor="text1"/>
          <w14:textFill>
            <w14:solidFill>
              <w14:schemeClr w14:val="tx1"/>
            </w14:solidFill>
          </w14:textFill>
        </w:rPr>
        <w:fldChar w:fldCharType="end"/>
      </w:r>
      <w:bookmarkEnd w:id="3"/>
      <w:r>
        <w:rPr>
          <w:rFonts w:hAnsi="黑体"/>
          <w:color w:val="000000" w:themeColor="text1"/>
          <w14:textFill>
            <w14:solidFill>
              <w14:schemeClr w14:val="tx1"/>
            </w14:solidFill>
          </w14:textFill>
        </w:rPr>
        <w:t xml:space="preserve">/T </w:t>
      </w:r>
      <w:r>
        <w:rPr>
          <w:rFonts w:hAnsi="黑体"/>
          <w:color w:val="000000" w:themeColor="text1"/>
          <w14:textFill>
            <w14:solidFill>
              <w14:schemeClr w14:val="tx1"/>
            </w14:solidFill>
          </w14:textFill>
        </w:rPr>
        <w:fldChar w:fldCharType="begin">
          <w:ffData>
            <w:name w:val="StdNo1"/>
            <w:enabled/>
            <w:calcOnExit w:val="0"/>
            <w:textInput>
              <w:default w:val="XXXX"/>
            </w:textInput>
          </w:ffData>
        </w:fldChar>
      </w:r>
      <w:bookmarkStart w:id="4" w:name="StdNo1"/>
      <w:r>
        <w:rPr>
          <w:rFonts w:hAnsi="黑体"/>
          <w:color w:val="000000" w:themeColor="text1"/>
          <w14:textFill>
            <w14:solidFill>
              <w14:schemeClr w14:val="tx1"/>
            </w14:solidFill>
          </w14:textFill>
        </w:rPr>
        <w:instrText xml:space="preserve"> FORMTEXT </w:instrText>
      </w:r>
      <w:r>
        <w:rPr>
          <w:rFonts w:hAnsi="黑体"/>
          <w:color w:val="000000" w:themeColor="text1"/>
          <w14:textFill>
            <w14:solidFill>
              <w14:schemeClr w14:val="tx1"/>
            </w14:solidFill>
          </w14:textFill>
        </w:rPr>
        <w:fldChar w:fldCharType="separate"/>
      </w:r>
      <w:r>
        <w:rPr>
          <w:rFonts w:hAnsi="黑体"/>
          <w:color w:val="000000" w:themeColor="text1"/>
          <w14:textFill>
            <w14:solidFill>
              <w14:schemeClr w14:val="tx1"/>
            </w14:solidFill>
          </w14:textFill>
        </w:rPr>
        <w:t>XXXX</w:t>
      </w:r>
      <w:r>
        <w:rPr>
          <w:rFonts w:hAnsi="黑体"/>
          <w:color w:val="000000" w:themeColor="text1"/>
          <w14:textFill>
            <w14:solidFill>
              <w14:schemeClr w14:val="tx1"/>
            </w14:solidFill>
          </w14:textFill>
        </w:rPr>
        <w:fldChar w:fldCharType="end"/>
      </w:r>
      <w:bookmarkEnd w:id="4"/>
      <w:r>
        <w:rPr>
          <w:rFonts w:hAnsi="黑体"/>
          <w:color w:val="000000" w:themeColor="text1"/>
          <w14:textFill>
            <w14:solidFill>
              <w14:schemeClr w14:val="tx1"/>
            </w14:solidFill>
          </w14:textFill>
        </w:rPr>
        <w:t>—</w:t>
      </w:r>
      <w:bookmarkStart w:id="5" w:name="StdNo2"/>
      <w:r>
        <w:rPr>
          <w:rFonts w:hAnsi="黑体"/>
          <w:color w:val="000000" w:themeColor="text1"/>
          <w14:textFill>
            <w14:solidFill>
              <w14:schemeClr w14:val="tx1"/>
            </w14:solidFill>
          </w14:textFill>
        </w:rPr>
        <w:fldChar w:fldCharType="begin">
          <w:ffData>
            <w:name w:val="StdNo2"/>
            <w:enabled/>
            <w:calcOnExit w:val="0"/>
            <w:textInput>
              <w:default w:val="XXXX"/>
              <w:maxLength w:val="4"/>
            </w:textInput>
          </w:ffData>
        </w:fldChar>
      </w:r>
      <w:r>
        <w:rPr>
          <w:rFonts w:hAnsi="黑体"/>
          <w:color w:val="000000" w:themeColor="text1"/>
          <w14:textFill>
            <w14:solidFill>
              <w14:schemeClr w14:val="tx1"/>
            </w14:solidFill>
          </w14:textFill>
        </w:rPr>
        <w:instrText xml:space="preserve"> FORMTEXT </w:instrText>
      </w:r>
      <w:r>
        <w:rPr>
          <w:rFonts w:hAnsi="黑体"/>
          <w:color w:val="000000" w:themeColor="text1"/>
          <w14:textFill>
            <w14:solidFill>
              <w14:schemeClr w14:val="tx1"/>
            </w14:solidFill>
          </w14:textFill>
        </w:rPr>
        <w:fldChar w:fldCharType="separate"/>
      </w:r>
      <w:r>
        <w:rPr>
          <w:rFonts w:hAnsi="黑体"/>
          <w:color w:val="000000" w:themeColor="text1"/>
          <w14:textFill>
            <w14:solidFill>
              <w14:schemeClr w14:val="tx1"/>
            </w14:solidFill>
          </w14:textFill>
        </w:rPr>
        <w:t>XXXX</w:t>
      </w:r>
      <w:r>
        <w:rPr>
          <w:rFonts w:hAnsi="黑体"/>
          <w:color w:val="000000" w:themeColor="text1"/>
          <w14:textFill>
            <w14:solidFill>
              <w14:schemeClr w14:val="tx1"/>
            </w14:solidFill>
          </w14:textFill>
        </w:rPr>
        <w:fldChar w:fldCharType="end"/>
      </w:r>
      <w:bookmarkEnd w:id="5"/>
    </w:p>
    <w:tbl>
      <w:tblPr>
        <w:tblStyle w:val="34"/>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77"/>
              <w:framePr w:wrap="around"/>
              <w:rPr>
                <w:color w:val="000000" w:themeColor="text1"/>
                <w14:textFill>
                  <w14:solidFill>
                    <w14:schemeClr w14:val="tx1"/>
                  </w14:solidFill>
                </w14:textFill>
              </w:rPr>
            </w:pPr>
            <w:bookmarkStart w:id="6" w:name="DT"/>
            <w:r>
              <w:rPr>
                <w:color w:val="000000" w:themeColor="text1"/>
                <w14:textFill>
                  <w14:solidFill>
                    <w14:schemeClr w14:val="tx1"/>
                  </w14:solidFill>
                </w14:textFill>
              </w:rPr>
              <mc:AlternateContent>
                <mc:Choice Requires="wps">
                  <w:drawing>
                    <wp:anchor distT="0" distB="0" distL="114300" distR="114300" simplePos="0" relativeHeight="251661312"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5168;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UYaFdcAAAAIAQAADwAAAAAAAAABACAAAAAi&#10;AAAAZHJzL2Rvd25yZXYueG1sUEsBAhQAFAAAAAgAh07iQDQZ5mwLAgAAIAQAAA4AAAAAAAAAAQAg&#10;AAAAJgEAAGRycy9lMm9Eb2MueG1sUEsFBgAAAAAGAAYAWQEAAKMFAAAAAA==&#10;">
                      <v:fill on="t" focussize="0,0"/>
                      <v:stroke on="f"/>
                      <v:imagedata o:title=""/>
                      <o:lock v:ext="edit" aspectratio="f"/>
                    </v:rect>
                  </w:pict>
                </mc:Fallback>
              </mc:AlternateContent>
            </w:r>
            <w:r>
              <w:rPr>
                <w:color w:val="000000" w:themeColor="text1"/>
                <w14:textFill>
                  <w14:solidFill>
                    <w14:schemeClr w14:val="tx1"/>
                  </w14:solidFill>
                </w14:textFill>
              </w:rPr>
              <w:fldChar w:fldCharType="begin">
                <w:ffData>
                  <w:name w:val="DT"/>
                  <w:enabled/>
                  <w:calcOnExit w:val="0"/>
                  <w:textInput/>
                </w:ffData>
              </w:fldChar>
            </w:r>
            <w:r>
              <w:rPr>
                <w:color w:val="000000" w:themeColor="text1"/>
                <w14:textFill>
                  <w14:solidFill>
                    <w14:schemeClr w14:val="tx1"/>
                  </w14:solidFill>
                </w14:textFill>
              </w:rPr>
              <w:instrText xml:space="preserve"> FORMTEXT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     </w:t>
            </w:r>
            <w:r>
              <w:rPr>
                <w:color w:val="000000" w:themeColor="text1"/>
                <w14:textFill>
                  <w14:solidFill>
                    <w14:schemeClr w14:val="tx1"/>
                  </w14:solidFill>
                </w14:textFill>
              </w:rPr>
              <w:fldChar w:fldCharType="end"/>
            </w:r>
            <w:bookmarkEnd w:id="6"/>
          </w:p>
        </w:tc>
      </w:tr>
    </w:tbl>
    <w:p>
      <w:pPr>
        <w:pStyle w:val="48"/>
        <w:framePr w:wrap="around"/>
        <w:rPr>
          <w:rFonts w:hAnsi="黑体"/>
          <w:color w:val="000000" w:themeColor="text1"/>
          <w14:textFill>
            <w14:solidFill>
              <w14:schemeClr w14:val="tx1"/>
            </w14:solidFill>
          </w14:textFill>
        </w:rPr>
      </w:pPr>
    </w:p>
    <w:p>
      <w:pPr>
        <w:pStyle w:val="48"/>
        <w:framePr w:wrap="around"/>
        <w:rPr>
          <w:rFonts w:hAnsi="黑体"/>
          <w:color w:val="000000" w:themeColor="text1"/>
          <w14:textFill>
            <w14:solidFill>
              <w14:schemeClr w14:val="tx1"/>
            </w14:solidFill>
          </w14:textFill>
        </w:rPr>
      </w:pPr>
    </w:p>
    <w:p>
      <w:pPr>
        <w:pStyle w:val="79"/>
        <w:framePr w:wrap="around"/>
        <w:rPr>
          <w:color w:val="000000" w:themeColor="text1"/>
          <w14:textFill>
            <w14:solidFill>
              <w14:schemeClr w14:val="tx1"/>
            </w14:solidFill>
          </w14:textFill>
        </w:rPr>
      </w:pPr>
      <w:r>
        <w:rPr>
          <w:rFonts w:hint="eastAsia"/>
          <w:color w:val="000000" w:themeColor="text1"/>
          <w14:textFill>
            <w14:solidFill>
              <w14:schemeClr w14:val="tx1"/>
            </w14:solidFill>
          </w14:textFill>
        </w:rPr>
        <w:t>购物中心无接触服务规范</w:t>
      </w:r>
    </w:p>
    <w:p>
      <w:pPr>
        <w:pStyle w:val="80"/>
        <w:framePr w:wrap="around"/>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Specifications of non-contact service in shopping mall </w:t>
      </w:r>
    </w:p>
    <w:p>
      <w:pPr>
        <w:pStyle w:val="81"/>
        <w:framePr w:wrap="around"/>
        <w:rPr>
          <w:color w:val="000000" w:themeColor="text1"/>
          <w14:textFill>
            <w14:solidFill>
              <w14:schemeClr w14:val="tx1"/>
            </w14:solidFill>
          </w14:textFill>
        </w:rPr>
      </w:pPr>
    </w:p>
    <w:tbl>
      <w:tblPr>
        <w:tblStyle w:val="34"/>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2"/>
              <w:framePr w:wrap="around"/>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3360"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3120;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ra7pn1wAAAAoBAAAPAAAAAAAAAAEAIAAA&#10;ACIAAABkcnMvZG93bnJldi54bWxQSwECFAAUAAAACACHTuJAQXZ4aQ0CAAAhBAAADgAAAAAAAAAB&#10;ACAAAAAmAQAAZHJzL2Uyb0RvYy54bWxQSwUGAAAAAAYABgBZAQAApQUAAAAA&#10;">
                      <v:fill on="t" focussize="0,0"/>
                      <v:stroke on="f"/>
                      <v:imagedata o:title=""/>
                      <o:lock v:ext="edit" aspectratio="f"/>
                      <w10:anchorlock/>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2336"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4144;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oem3XAAAACQEAAA8AAAAAAAAAAQAgAAAA&#10;IgAAAGRycy9kb3ducmV2LnhtbFBLAQIUABQAAAAIAIdO4kBWo5GFDAIAACEEAAAOAAAAAAAAAAEA&#10;IAAAACYBAABkcnMvZTJvRG9jLnhtbFBLBQYAAAAABgAGAFkBAACkBQAAAAA=&#10;">
                      <v:fill on="t" focussize="0,0"/>
                      <v:stroke on="f"/>
                      <v:imagedata o:title=""/>
                      <o:lock v:ext="edit" aspectratio="f"/>
                    </v:rect>
                  </w:pict>
                </mc:Fallback>
              </mc:AlternateConten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网上</w:t>
            </w:r>
            <w:r>
              <w:rPr>
                <w:rFonts w:hint="eastAsia"/>
                <w:color w:val="000000" w:themeColor="text1"/>
                <w14:textFill>
                  <w14:solidFill>
                    <w14:schemeClr w14:val="tx1"/>
                  </w14:solidFill>
                </w14:textFill>
              </w:rPr>
              <w:t>征求意见</w:t>
            </w:r>
            <w:r>
              <w:rPr>
                <w:color w:val="000000" w:themeColor="text1"/>
                <w14:textFill>
                  <w14:solidFill>
                    <w14:schemeClr w14:val="tx1"/>
                  </w14:solidFill>
                </w14:textFill>
              </w:rPr>
              <w:t>稿</w:t>
            </w:r>
            <w:r>
              <w:rPr>
                <w:rFonts w:hint="eastAsia"/>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3"/>
              <w:framePr w:wrap="around"/>
              <w:rPr>
                <w:color w:val="000000" w:themeColor="text1"/>
                <w14:textFill>
                  <w14:solidFill>
                    <w14:schemeClr w14:val="tx1"/>
                  </w14:solidFill>
                </w14:textFill>
              </w:rPr>
            </w:pPr>
            <w:bookmarkStart w:id="22" w:name="_GoBack"/>
            <w:bookmarkEnd w:id="22"/>
          </w:p>
        </w:tc>
      </w:tr>
    </w:tbl>
    <w:p>
      <w:pPr>
        <w:pStyle w:val="132"/>
        <w:framePr w:wrap="around" w:hAnchor="page" w:x="1396" w:y="14191"/>
        <w:rPr>
          <w:color w:val="000000" w:themeColor="text1"/>
          <w14:textFill>
            <w14:solidFill>
              <w14:schemeClr w14:val="tx1"/>
            </w14:solidFill>
          </w14:textFill>
        </w:rPr>
      </w:pPr>
      <w:bookmarkStart w:id="7" w:name="FY"/>
      <w:r>
        <w:rPr>
          <w:rFonts w:ascii="黑体"/>
          <w:color w:val="000000" w:themeColor="text1"/>
          <w14:textFill>
            <w14:solidFill>
              <w14:schemeClr w14:val="tx1"/>
            </w14:solidFill>
          </w14:textFill>
        </w:rPr>
        <w:fldChar w:fldCharType="begin">
          <w:ffData>
            <w:name w:val="FY"/>
            <w:enabled/>
            <w:calcOnExit w:val="0"/>
            <w:textInput>
              <w:default w:val="XXXX"/>
              <w:maxLength w:val="4"/>
            </w:textInput>
          </w:ffData>
        </w:fldChar>
      </w:r>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XXXX</w:t>
      </w:r>
      <w:r>
        <w:rPr>
          <w:rFonts w:ascii="黑体"/>
          <w:color w:val="000000" w:themeColor="text1"/>
          <w14:textFill>
            <w14:solidFill>
              <w14:schemeClr w14:val="tx1"/>
            </w14:solidFill>
          </w14:textFill>
        </w:rPr>
        <w:fldChar w:fldCharType="end"/>
      </w:r>
      <w:bookmarkEnd w:id="7"/>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fldChar w:fldCharType="begin">
          <w:ffData>
            <w:name w:val="FM"/>
            <w:enabled/>
            <w:calcOnExit w:val="0"/>
            <w:textInput>
              <w:default w:val="XX"/>
              <w:maxLength w:val="2"/>
            </w:textInput>
          </w:ffData>
        </w:fldChar>
      </w:r>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w:t>
      </w:r>
      <w:r>
        <w:rPr>
          <w:rFonts w:ascii="黑体"/>
          <w:color w:val="000000" w:themeColor="text1"/>
          <w14:textFill>
            <w14:solidFill>
              <w14:schemeClr w14:val="tx1"/>
            </w14:solidFill>
          </w14:textFill>
        </w:rPr>
        <w:fldChar w:fldCharType="end"/>
      </w:r>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bookmarkStart w:id="8" w:name="FD"/>
      <w:r>
        <w:rPr>
          <w:rFonts w:ascii="黑体"/>
          <w:color w:val="000000" w:themeColor="text1"/>
          <w14:textFill>
            <w14:solidFill>
              <w14:schemeClr w14:val="tx1"/>
            </w14:solidFill>
          </w14:textFill>
        </w:rPr>
        <w:fldChar w:fldCharType="begin">
          <w:ffData>
            <w:name w:val="FD"/>
            <w:enabled/>
            <w:calcOnExit w:val="0"/>
            <w:textInput>
              <w:default w:val="XX"/>
              <w:maxLength w:val="2"/>
            </w:textInput>
          </w:ffData>
        </w:fldChar>
      </w:r>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w:t>
      </w:r>
      <w:r>
        <w:rPr>
          <w:rFonts w:ascii="黑体"/>
          <w:color w:val="000000" w:themeColor="text1"/>
          <w14:textFill>
            <w14:solidFill>
              <w14:schemeClr w14:val="tx1"/>
            </w14:solidFill>
          </w14:textFill>
        </w:rPr>
        <w:fldChar w:fldCharType="end"/>
      </w:r>
      <w:bookmarkEnd w:id="8"/>
      <w:r>
        <w:rPr>
          <w:rFonts w:hint="eastAsia"/>
          <w:color w:val="000000" w:themeColor="text1"/>
          <w14:textFill>
            <w14:solidFill>
              <w14:schemeClr w14:val="tx1"/>
            </w14:solidFill>
          </w14:textFill>
        </w:rPr>
        <w:t>发布</w:t>
      </w:r>
    </w:p>
    <w:p>
      <w:pPr>
        <w:pStyle w:val="133"/>
        <w:framePr w:wrap="around" w:hAnchor="page" w:x="7066" w:y="14116"/>
        <w:rPr>
          <w:color w:val="000000" w:themeColor="text1"/>
          <w14:textFill>
            <w14:solidFill>
              <w14:schemeClr w14:val="tx1"/>
            </w14:solidFill>
          </w14:textFill>
        </w:rPr>
      </w:pPr>
      <w:bookmarkStart w:id="9" w:name="SY"/>
      <w:r>
        <w:rPr>
          <w:rFonts w:ascii="黑体"/>
          <w:color w:val="000000" w:themeColor="text1"/>
          <w14:textFill>
            <w14:solidFill>
              <w14:schemeClr w14:val="tx1"/>
            </w14:solidFill>
          </w14:textFill>
        </w:rPr>
        <w:fldChar w:fldCharType="begin">
          <w:ffData>
            <w:name w:val="SY"/>
            <w:enabled/>
            <w:calcOnExit w:val="0"/>
            <w:textInput>
              <w:default w:val="XXXX"/>
              <w:maxLength w:val="4"/>
            </w:textInput>
          </w:ffData>
        </w:fldChar>
      </w:r>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XXXX</w:t>
      </w:r>
      <w:r>
        <w:rPr>
          <w:rFonts w:ascii="黑体"/>
          <w:color w:val="000000" w:themeColor="text1"/>
          <w14:textFill>
            <w14:solidFill>
              <w14:schemeClr w14:val="tx1"/>
            </w14:solidFill>
          </w14:textFill>
        </w:rPr>
        <w:fldChar w:fldCharType="end"/>
      </w:r>
      <w:bookmarkEnd w:id="9"/>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bookmarkStart w:id="10" w:name="SM"/>
      <w:r>
        <w:rPr>
          <w:rFonts w:ascii="黑体"/>
          <w:color w:val="000000" w:themeColor="text1"/>
          <w14:textFill>
            <w14:solidFill>
              <w14:schemeClr w14:val="tx1"/>
            </w14:solidFill>
          </w14:textFill>
        </w:rPr>
        <w:fldChar w:fldCharType="begin">
          <w:ffData>
            <w:name w:val="SM"/>
            <w:enabled/>
            <w:calcOnExit w:val="0"/>
            <w:textInput>
              <w:default w:val="XX"/>
              <w:maxLength w:val="2"/>
            </w:textInput>
          </w:ffData>
        </w:fldChar>
      </w:r>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w:t>
      </w:r>
      <w:r>
        <w:rPr>
          <w:rFonts w:ascii="黑体"/>
          <w:color w:val="000000" w:themeColor="text1"/>
          <w14:textFill>
            <w14:solidFill>
              <w14:schemeClr w14:val="tx1"/>
            </w14:solidFill>
          </w14:textFill>
        </w:rPr>
        <w:fldChar w:fldCharType="end"/>
      </w:r>
      <w:bookmarkEnd w:id="10"/>
      <w:r>
        <w:rPr>
          <w:color w:val="000000" w:themeColor="text1"/>
          <w14:textFill>
            <w14:solidFill>
              <w14:schemeClr w14:val="tx1"/>
            </w14:solidFill>
          </w14:textFill>
        </w:rPr>
        <w:t xml:space="preserve"> </w:t>
      </w:r>
      <w:r>
        <w:rPr>
          <w:rFonts w:ascii="黑体"/>
          <w:color w:val="000000" w:themeColor="text1"/>
          <w14:textFill>
            <w14:solidFill>
              <w14:schemeClr w14:val="tx1"/>
            </w14:solidFill>
          </w14:textFill>
        </w:rPr>
        <w:t>-</w:t>
      </w:r>
      <w:r>
        <w:rPr>
          <w:color w:val="000000" w:themeColor="text1"/>
          <w14:textFill>
            <w14:solidFill>
              <w14:schemeClr w14:val="tx1"/>
            </w14:solidFill>
          </w14:textFill>
        </w:rPr>
        <w:t xml:space="preserve"> </w:t>
      </w:r>
      <w:bookmarkStart w:id="11" w:name="SD"/>
      <w:r>
        <w:rPr>
          <w:rFonts w:ascii="黑体"/>
          <w:color w:val="000000" w:themeColor="text1"/>
          <w14:textFill>
            <w14:solidFill>
              <w14:schemeClr w14:val="tx1"/>
            </w14:solidFill>
          </w14:textFill>
        </w:rPr>
        <w:fldChar w:fldCharType="begin">
          <w:ffData>
            <w:name w:val="SD"/>
            <w:enabled/>
            <w:calcOnExit w:val="0"/>
            <w:textInput>
              <w:default w:val="XX"/>
              <w:maxLength w:val="2"/>
            </w:textInput>
          </w:ffData>
        </w:fldChar>
      </w:r>
      <w:r>
        <w:rPr>
          <w:rFonts w:ascii="黑体"/>
          <w:color w:val="000000" w:themeColor="text1"/>
          <w14:textFill>
            <w14:solidFill>
              <w14:schemeClr w14:val="tx1"/>
            </w14:solidFill>
          </w14:textFill>
        </w:rPr>
        <w:instrText xml:space="preserve"> FORMTEXT </w:instrText>
      </w:r>
      <w:r>
        <w:rPr>
          <w:rFonts w:ascii="黑体"/>
          <w:color w:val="000000" w:themeColor="text1"/>
          <w14:textFill>
            <w14:solidFill>
              <w14:schemeClr w14:val="tx1"/>
            </w14:solidFill>
          </w14:textFill>
        </w:rPr>
        <w:fldChar w:fldCharType="separate"/>
      </w:r>
      <w:r>
        <w:rPr>
          <w:rFonts w:ascii="黑体"/>
          <w:color w:val="000000" w:themeColor="text1"/>
          <w14:textFill>
            <w14:solidFill>
              <w14:schemeClr w14:val="tx1"/>
            </w14:solidFill>
          </w14:textFill>
        </w:rPr>
        <w:t>XX</w:t>
      </w:r>
      <w:r>
        <w:rPr>
          <w:rFonts w:ascii="黑体"/>
          <w:color w:val="000000" w:themeColor="text1"/>
          <w14:textFill>
            <w14:solidFill>
              <w14:schemeClr w14:val="tx1"/>
            </w14:solidFill>
          </w14:textFill>
        </w:rPr>
        <w:fldChar w:fldCharType="end"/>
      </w:r>
      <w:bookmarkEnd w:id="11"/>
      <w:r>
        <w:rPr>
          <w:rFonts w:hint="eastAsia"/>
          <w:color w:val="000000" w:themeColor="text1"/>
          <w14:textFill>
            <w14:solidFill>
              <w14:schemeClr w14:val="tx1"/>
            </w14:solidFill>
          </w14:textFill>
        </w:rPr>
        <w:t>实施</w:t>
      </w:r>
    </w:p>
    <w:p>
      <w:pPr>
        <w:pStyle w:val="112"/>
        <w:framePr w:wrap="around"/>
        <w:rPr>
          <w:color w:val="000000" w:themeColor="text1"/>
          <w14:textFill>
            <w14:solidFill>
              <w14:schemeClr w14:val="tx1"/>
            </w14:solidFill>
          </w14:textFill>
        </w:rPr>
      </w:pPr>
      <w:bookmarkStart w:id="12" w:name="fm"/>
      <w:r>
        <w:rPr>
          <w:rFonts w:hint="eastAsia"/>
          <w:color w:val="000000" w:themeColor="text1"/>
          <w14:textFill>
            <w14:solidFill>
              <w14:schemeClr w14:val="tx1"/>
            </w14:solidFill>
          </w14:textFill>
        </w:rPr>
        <w:t>河北省市场监督</w:t>
      </w:r>
      <w:r>
        <w:rPr>
          <w:color w:val="000000" w:themeColor="text1"/>
          <w14:textFill>
            <w14:solidFill>
              <w14:schemeClr w14:val="tx1"/>
            </w14:solidFill>
          </w14:textFill>
        </w:rPr>
        <w:t>管理局</w:t>
      </w:r>
      <w:bookmarkEnd w:id="12"/>
      <w:r>
        <w:rPr>
          <w:rFonts w:hAnsi="黑体"/>
          <w:color w:val="000000" w:themeColor="text1"/>
          <w14:textFill>
            <w14:solidFill>
              <w14:schemeClr w14:val="tx1"/>
            </w14:solidFill>
          </w14:textFill>
        </w:rPr>
        <w:t>   </w:t>
      </w:r>
      <w:r>
        <w:rPr>
          <w:rStyle w:val="74"/>
          <w:rFonts w:hint="eastAsia"/>
          <w:color w:val="000000" w:themeColor="text1"/>
          <w14:textFill>
            <w14:solidFill>
              <w14:schemeClr w14:val="tx1"/>
            </w14:solidFill>
          </w14:textFill>
        </w:rPr>
        <w:t>发布</w:t>
      </w:r>
    </w:p>
    <w:p>
      <w:pPr>
        <w:pStyle w:val="24"/>
        <w:rPr>
          <w:color w:val="000000" w:themeColor="text1"/>
          <w14:textFill>
            <w14:solidFill>
              <w14:schemeClr w14:val="tx1"/>
            </w14:solidFill>
          </w14:textFill>
        </w:rPr>
        <w:sectPr>
          <w:footerReference r:id="rId3" w:type="default"/>
          <w:pgSz w:w="11906" w:h="16838"/>
          <w:pgMar w:top="567" w:right="850" w:bottom="1134" w:left="1418" w:header="0" w:footer="0" w:gutter="0"/>
          <w:pgNumType w:start="1"/>
          <w:cols w:space="425" w:num="1"/>
          <w:docGrid w:type="lines" w:linePitch="312" w:charSpace="0"/>
        </w:sectPr>
      </w:pPr>
      <w:r>
        <w:rPr>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4384;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v:fill on="f" focussize="0,0"/>
                <v:stroke color="#000000" joinstyle="round"/>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60288;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v:fill on="f" focussize="0,0"/>
                <v:stroke color="#000000" joinstyle="round"/>
                <v:imagedata o:title=""/>
                <o:lock v:ext="edit" aspectratio="f"/>
              </v:line>
            </w:pict>
          </mc:Fallback>
        </mc:AlternateContent>
      </w:r>
    </w:p>
    <w:p>
      <w:pPr>
        <w:pStyle w:val="51"/>
        <w:rPr>
          <w:color w:val="000000" w:themeColor="text1"/>
          <w14:textFill>
            <w14:solidFill>
              <w14:schemeClr w14:val="tx1"/>
            </w14:solidFill>
          </w14:textFill>
        </w:rPr>
      </w:pPr>
      <w:r>
        <w:rPr>
          <w:rFonts w:hint="eastAsia"/>
          <w:color w:val="000000" w:themeColor="text1"/>
          <w14:textFill>
            <w14:solidFill>
              <w14:schemeClr w14:val="tx1"/>
            </w14:solidFill>
          </w14:textFill>
        </w:rPr>
        <w:t>目</w:t>
      </w:r>
      <w:r>
        <w:rPr>
          <w:rFonts w:hAnsi="黑体"/>
          <w:color w:val="000000" w:themeColor="text1"/>
          <w14:textFill>
            <w14:solidFill>
              <w14:schemeClr w14:val="tx1"/>
            </w14:solidFill>
          </w14:textFill>
        </w:rPr>
        <w:t>  </w:t>
      </w:r>
      <w:r>
        <w:rPr>
          <w:rFonts w:hint="eastAsia"/>
          <w:color w:val="000000" w:themeColor="text1"/>
          <w14:textFill>
            <w14:solidFill>
              <w14:schemeClr w14:val="tx1"/>
            </w14:solidFill>
          </w14:textFill>
        </w:rPr>
        <w:t>次</w:t>
      </w:r>
    </w:p>
    <w:p>
      <w:pPr>
        <w:pStyle w:val="20"/>
        <w:spacing w:before="78" w:after="78"/>
        <w:rPr>
          <w:color w:val="000000" w:themeColor="text1"/>
          <w14:textFill>
            <w14:solidFill>
              <w14:schemeClr w14:val="tx1"/>
            </w14:solidFill>
          </w14:textFill>
        </w:rPr>
      </w:pPr>
      <w:r>
        <w:rPr>
          <w:rFonts w:hAnsi="宋体"/>
          <w:color w:val="000000" w:themeColor="text1"/>
          <w:szCs w:val="28"/>
          <w14:textFill>
            <w14:solidFill>
              <w14:schemeClr w14:val="tx1"/>
            </w14:solidFill>
          </w14:textFill>
        </w:rPr>
        <w:fldChar w:fldCharType="begin"/>
      </w:r>
      <w:r>
        <w:rPr>
          <w:rFonts w:hAnsi="宋体"/>
          <w:color w:val="000000" w:themeColor="text1"/>
          <w:szCs w:val="28"/>
          <w14:textFill>
            <w14:solidFill>
              <w14:schemeClr w14:val="tx1"/>
            </w14:solidFill>
          </w14:textFill>
        </w:rPr>
        <w:instrText xml:space="preserve"> TOC \h \z \t "一级条标题,2,章标题,1,参考文献、索引标题,1,附录标识,1,附录标题,1,附录章标题,2,前言、引言标题,1" </w:instrText>
      </w:r>
      <w:r>
        <w:rPr>
          <w:rFonts w:hAnsi="宋体"/>
          <w:color w:val="000000" w:themeColor="text1"/>
          <w:szCs w:val="28"/>
          <w14:textFill>
            <w14:solidFill>
              <w14:schemeClr w14:val="tx1"/>
            </w14:solidFill>
          </w14:textFill>
        </w:rPr>
        <w:fldChar w:fldCharType="separate"/>
      </w:r>
      <w:r>
        <w:fldChar w:fldCharType="begin"/>
      </w:r>
      <w:r>
        <w:instrText xml:space="preserve"> HYPERLINK \l "_Toc48305688" </w:instrText>
      </w:r>
      <w:r>
        <w:fldChar w:fldCharType="separate"/>
      </w:r>
      <w:r>
        <w:rPr>
          <w:rStyle w:val="40"/>
          <w:color w:val="000000" w:themeColor="text1"/>
          <w14:textFill>
            <w14:solidFill>
              <w14:schemeClr w14:val="tx1"/>
            </w14:solidFill>
          </w14:textFill>
        </w:rPr>
        <w:t>前</w:t>
      </w:r>
      <w:r>
        <w:rPr>
          <w:rStyle w:val="40"/>
          <w:rFonts w:hAnsi="黑体"/>
          <w:color w:val="000000" w:themeColor="text1"/>
          <w14:textFill>
            <w14:solidFill>
              <w14:schemeClr w14:val="tx1"/>
            </w14:solidFill>
          </w14:textFill>
        </w:rPr>
        <w:t>  </w:t>
      </w:r>
      <w:r>
        <w:rPr>
          <w:rStyle w:val="40"/>
          <w:color w:val="000000" w:themeColor="text1"/>
          <w14:textFill>
            <w14:solidFill>
              <w14:schemeClr w14:val="tx1"/>
            </w14:solidFill>
          </w14:textFill>
        </w:rPr>
        <w:t>言</w:t>
      </w:r>
      <w:r>
        <w:rPr>
          <w:color w:val="000000" w:themeColor="text1"/>
          <w14:textFill>
            <w14:solidFill>
              <w14:schemeClr w14:val="tx1"/>
            </w14:solidFill>
          </w14:textFill>
        </w:rPr>
        <w:tab/>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III</w:t>
      </w:r>
    </w:p>
    <w:p>
      <w:pPr>
        <w:pStyle w:val="20"/>
        <w:spacing w:before="78" w:after="78"/>
        <w:rPr>
          <w:rFonts w:hint="eastAsia" w:eastAsia="宋体"/>
          <w:color w:val="000000" w:themeColor="text1"/>
          <w:lang w:val="en-US" w:eastAsia="zh-CN"/>
          <w14:textFill>
            <w14:solidFill>
              <w14:schemeClr w14:val="tx1"/>
            </w14:solidFill>
          </w14:textFill>
        </w:rPr>
      </w:pPr>
      <w:r>
        <w:rPr>
          <w:rStyle w:val="40"/>
          <w:rFonts w:hint="eastAsia"/>
          <w:color w:val="000000" w:themeColor="text1"/>
          <w14:textFill>
            <w14:solidFill>
              <w14:schemeClr w14:val="tx1"/>
            </w14:solidFill>
          </w14:textFill>
        </w:rPr>
        <w:t>1</w:t>
      </w:r>
      <w:r>
        <w:rPr>
          <w:rStyle w:val="40"/>
          <w:color w:val="000000" w:themeColor="text1"/>
          <w14:textFill>
            <w14:solidFill>
              <w14:schemeClr w14:val="tx1"/>
            </w14:solidFill>
          </w14:textFill>
        </w:rPr>
        <w:t xml:space="preserve"> </w:t>
      </w:r>
      <w:r>
        <w:rPr>
          <w:rStyle w:val="40"/>
          <w:rFonts w:hint="eastAsia"/>
          <w:color w:val="000000" w:themeColor="text1"/>
          <w14:textFill>
            <w14:solidFill>
              <w14:schemeClr w14:val="tx1"/>
            </w14:solidFill>
          </w14:textFill>
        </w:rPr>
        <w:t>范围</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1</w:t>
      </w:r>
    </w:p>
    <w:p>
      <w:pPr>
        <w:pStyle w:val="20"/>
        <w:spacing w:before="78" w:after="78"/>
        <w:rPr>
          <w:rFonts w:asciiTheme="minorHAnsi" w:hAnsiTheme="minorHAnsi" w:eastAsiaTheme="minorEastAsia" w:cstheme="minorBidi"/>
          <w:color w:val="000000" w:themeColor="text1"/>
          <w:szCs w:val="22"/>
          <w14:textFill>
            <w14:solidFill>
              <w14:schemeClr w14:val="tx1"/>
            </w14:solidFill>
          </w14:textFill>
        </w:rPr>
      </w:pPr>
      <w:r>
        <w:fldChar w:fldCharType="begin"/>
      </w:r>
      <w:r>
        <w:instrText xml:space="preserve"> HYPERLINK \l "_Toc48305691" </w:instrText>
      </w:r>
      <w:r>
        <w:fldChar w:fldCharType="separate"/>
      </w:r>
      <w:r>
        <w:rPr>
          <w:rStyle w:val="40"/>
          <w:color w:val="000000" w:themeColor="text1"/>
          <w14:textFill>
            <w14:solidFill>
              <w14:schemeClr w14:val="tx1"/>
            </w14:solidFill>
          </w14:textFill>
        </w:rPr>
        <w:t>2 规范性引用文件</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fldChar w:fldCharType="end"/>
      </w:r>
    </w:p>
    <w:p>
      <w:pPr>
        <w:pStyle w:val="20"/>
        <w:spacing w:before="78" w:after="78"/>
        <w:rPr>
          <w:rFonts w:asciiTheme="minorHAnsi" w:hAnsiTheme="minorHAnsi" w:eastAsiaTheme="minorEastAsia" w:cstheme="minorBidi"/>
          <w:color w:val="000000" w:themeColor="text1"/>
          <w:szCs w:val="22"/>
          <w14:textFill>
            <w14:solidFill>
              <w14:schemeClr w14:val="tx1"/>
            </w14:solidFill>
          </w14:textFill>
        </w:rPr>
      </w:pPr>
      <w:r>
        <w:fldChar w:fldCharType="begin"/>
      </w:r>
      <w:r>
        <w:instrText xml:space="preserve"> HYPERLINK \l "_Toc48305692" </w:instrText>
      </w:r>
      <w:r>
        <w:fldChar w:fldCharType="separate"/>
      </w:r>
      <w:r>
        <w:rPr>
          <w:rStyle w:val="40"/>
          <w:color w:val="000000" w:themeColor="text1"/>
          <w14:textFill>
            <w14:solidFill>
              <w14:schemeClr w14:val="tx1"/>
            </w14:solidFill>
          </w14:textFill>
        </w:rPr>
        <w:t>3 术语和定义</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fldChar w:fldCharType="end"/>
      </w:r>
    </w:p>
    <w:p>
      <w:pPr>
        <w:pStyle w:val="20"/>
        <w:spacing w:before="78" w:after="78"/>
        <w:rPr>
          <w:rFonts w:asciiTheme="minorHAnsi" w:hAnsiTheme="minorHAnsi" w:eastAsiaTheme="minorEastAsia" w:cstheme="minorBidi"/>
          <w:color w:val="000000" w:themeColor="text1"/>
          <w:szCs w:val="22"/>
          <w14:textFill>
            <w14:solidFill>
              <w14:schemeClr w14:val="tx1"/>
            </w14:solidFill>
          </w14:textFill>
        </w:rPr>
      </w:pPr>
      <w:r>
        <w:fldChar w:fldCharType="begin"/>
      </w:r>
      <w:r>
        <w:instrText xml:space="preserve"> HYPERLINK \l "_Toc48305693" </w:instrText>
      </w:r>
      <w:r>
        <w:fldChar w:fldCharType="separate"/>
      </w:r>
      <w:r>
        <w:rPr>
          <w:rStyle w:val="40"/>
          <w:color w:val="000000" w:themeColor="text1"/>
          <w14:textFill>
            <w14:solidFill>
              <w14:schemeClr w14:val="tx1"/>
            </w14:solidFill>
          </w14:textFill>
        </w:rPr>
        <w:t xml:space="preserve">4 </w:t>
      </w:r>
      <w:r>
        <w:rPr>
          <w:rStyle w:val="40"/>
          <w:rFonts w:hint="eastAsia"/>
          <w:color w:val="000000" w:themeColor="text1"/>
          <w14:textFill>
            <w14:solidFill>
              <w14:schemeClr w14:val="tx1"/>
            </w14:solidFill>
          </w14:textFill>
        </w:rPr>
        <w:t>总体</w:t>
      </w:r>
      <w:r>
        <w:rPr>
          <w:rStyle w:val="40"/>
          <w:color w:val="000000" w:themeColor="text1"/>
          <w14:textFill>
            <w14:solidFill>
              <w14:schemeClr w14:val="tx1"/>
            </w14:solidFill>
          </w14:textFill>
        </w:rPr>
        <w:t>要求</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fldChar w:fldCharType="end"/>
      </w:r>
    </w:p>
    <w:p>
      <w:pPr>
        <w:pStyle w:val="20"/>
        <w:spacing w:before="78" w:after="78"/>
        <w:rPr>
          <w:rFonts w:hint="eastAsia" w:eastAsia="宋体" w:asciiTheme="minorHAnsi" w:hAnsiTheme="minorHAnsi" w:cstheme="minorBidi"/>
          <w:color w:val="000000" w:themeColor="text1"/>
          <w:szCs w:val="22"/>
          <w:lang w:val="en-US" w:eastAsia="zh-CN"/>
          <w14:textFill>
            <w14:solidFill>
              <w14:schemeClr w14:val="tx1"/>
            </w14:solidFill>
          </w14:textFill>
        </w:rPr>
      </w:pPr>
      <w:r>
        <w:fldChar w:fldCharType="begin"/>
      </w:r>
      <w:r>
        <w:instrText xml:space="preserve"> HYPERLINK \l "_Toc48305696" </w:instrText>
      </w:r>
      <w:r>
        <w:fldChar w:fldCharType="separate"/>
      </w:r>
      <w:r>
        <w:rPr>
          <w:rStyle w:val="40"/>
          <w:color w:val="000000" w:themeColor="text1"/>
          <w14:textFill>
            <w14:solidFill>
              <w14:schemeClr w14:val="tx1"/>
            </w14:solidFill>
          </w14:textFill>
        </w:rPr>
        <w:t xml:space="preserve">5 </w:t>
      </w:r>
      <w:r>
        <w:rPr>
          <w:rStyle w:val="40"/>
          <w:rFonts w:hint="eastAsia"/>
          <w:color w:val="000000" w:themeColor="text1"/>
          <w14:textFill>
            <w14:solidFill>
              <w14:schemeClr w14:val="tx1"/>
            </w14:solidFill>
          </w14:textFill>
        </w:rPr>
        <w:t>服务内容和要求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1</w:t>
      </w:r>
    </w:p>
    <w:p>
      <w:pPr>
        <w:pStyle w:val="20"/>
        <w:spacing w:before="78" w:after="78"/>
        <w:rPr>
          <w:rFonts w:asciiTheme="minorHAnsi" w:hAnsiTheme="minorHAnsi" w:eastAsiaTheme="minorEastAsia" w:cstheme="minorBidi"/>
          <w:color w:val="000000" w:themeColor="text1"/>
          <w:szCs w:val="22"/>
          <w14:textFill>
            <w14:solidFill>
              <w14:schemeClr w14:val="tx1"/>
            </w14:solidFill>
          </w14:textFill>
        </w:rPr>
      </w:pPr>
      <w:r>
        <w:fldChar w:fldCharType="begin"/>
      </w:r>
      <w:r>
        <w:instrText xml:space="preserve"> HYPERLINK \l "_Toc48305696" </w:instrText>
      </w:r>
      <w:r>
        <w:fldChar w:fldCharType="separate"/>
      </w:r>
      <w:r>
        <w:rPr>
          <w:rStyle w:val="40"/>
          <w:rFonts w:hint="eastAsia"/>
          <w:color w:val="000000" w:themeColor="text1"/>
          <w14:textFill>
            <w14:solidFill>
              <w14:schemeClr w14:val="tx1"/>
            </w14:solidFill>
          </w14:textFill>
        </w:rPr>
        <w:t>6</w:t>
      </w:r>
      <w:r>
        <w:rPr>
          <w:rStyle w:val="40"/>
          <w:color w:val="000000" w:themeColor="text1"/>
          <w14:textFill>
            <w14:solidFill>
              <w14:schemeClr w14:val="tx1"/>
            </w14:solidFill>
          </w14:textFill>
        </w:rPr>
        <w:t xml:space="preserve"> </w:t>
      </w:r>
      <w:r>
        <w:rPr>
          <w:rStyle w:val="40"/>
          <w:rFonts w:hint="eastAsia"/>
          <w:color w:val="000000" w:themeColor="text1"/>
          <w14:textFill>
            <w14:solidFill>
              <w14:schemeClr w14:val="tx1"/>
            </w14:solidFill>
          </w14:textFill>
        </w:rPr>
        <w:t>入驻商户服务</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fldChar w:fldCharType="end"/>
      </w:r>
    </w:p>
    <w:p>
      <w:pPr>
        <w:pStyle w:val="20"/>
        <w:spacing w:before="78" w:after="78"/>
        <w:rPr>
          <w:rFonts w:asciiTheme="minorHAnsi" w:hAnsiTheme="minorHAnsi" w:eastAsiaTheme="minorEastAsia" w:cstheme="minorBidi"/>
          <w:color w:val="000000" w:themeColor="text1"/>
          <w:szCs w:val="22"/>
          <w14:textFill>
            <w14:solidFill>
              <w14:schemeClr w14:val="tx1"/>
            </w14:solidFill>
          </w14:textFill>
        </w:rPr>
      </w:pPr>
      <w:r>
        <w:fldChar w:fldCharType="begin"/>
      </w:r>
      <w:r>
        <w:instrText xml:space="preserve"> HYPERLINK \l "_Toc48305696" </w:instrText>
      </w:r>
      <w:r>
        <w:fldChar w:fldCharType="separate"/>
      </w:r>
      <w:r>
        <w:rPr>
          <w:rStyle w:val="40"/>
          <w:rFonts w:hint="eastAsia"/>
          <w:color w:val="000000" w:themeColor="text1"/>
          <w14:textFill>
            <w14:solidFill>
              <w14:schemeClr w14:val="tx1"/>
            </w14:solidFill>
          </w14:textFill>
        </w:rPr>
        <w:t>7</w:t>
      </w:r>
      <w:r>
        <w:rPr>
          <w:rStyle w:val="40"/>
          <w:color w:val="000000" w:themeColor="text1"/>
          <w14:textFill>
            <w14:solidFill>
              <w14:schemeClr w14:val="tx1"/>
            </w14:solidFill>
          </w14:textFill>
        </w:rPr>
        <w:t xml:space="preserve"> </w:t>
      </w:r>
      <w:r>
        <w:rPr>
          <w:rStyle w:val="40"/>
          <w:rFonts w:hint="eastAsia"/>
          <w:color w:val="000000" w:themeColor="text1"/>
          <w14:textFill>
            <w14:solidFill>
              <w14:schemeClr w14:val="tx1"/>
            </w14:solidFill>
          </w14:textFill>
        </w:rPr>
        <w:t>服务质量管控</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fldChar w:fldCharType="end"/>
      </w:r>
    </w:p>
    <w:p>
      <w:pPr>
        <w:pStyle w:val="20"/>
        <w:spacing w:before="78" w:after="78"/>
        <w:rPr>
          <w:rFonts w:hint="eastAsia" w:eastAsia="宋体"/>
          <w:color w:val="000000" w:themeColor="text1"/>
          <w:lang w:eastAsia="zh-CN"/>
          <w14:textFill>
            <w14:solidFill>
              <w14:schemeClr w14:val="tx1"/>
            </w14:solidFill>
          </w14:textFill>
        </w:rPr>
      </w:pPr>
      <w:r>
        <w:rPr>
          <w:rStyle w:val="40"/>
          <w:rFonts w:hint="eastAsia"/>
          <w:color w:val="000000" w:themeColor="text1"/>
          <w14:textFill>
            <w14:solidFill>
              <w14:schemeClr w14:val="tx1"/>
            </w14:solidFill>
          </w14:textFill>
        </w:rPr>
        <w:t>8</w:t>
      </w:r>
      <w:r>
        <w:rPr>
          <w:rStyle w:val="40"/>
          <w:color w:val="000000" w:themeColor="text1"/>
          <w14:textFill>
            <w14:solidFill>
              <w14:schemeClr w14:val="tx1"/>
            </w14:solidFill>
          </w14:textFill>
        </w:rPr>
        <w:t xml:space="preserve"> </w:t>
      </w:r>
      <w:r>
        <w:rPr>
          <w:rStyle w:val="40"/>
          <w:rFonts w:hint="eastAsia"/>
          <w:color w:val="000000" w:themeColor="text1"/>
          <w14:textFill>
            <w14:solidFill>
              <w14:schemeClr w14:val="tx1"/>
            </w14:solidFill>
          </w14:textFill>
        </w:rPr>
        <w:t>异常情况处理</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6</w:t>
      </w:r>
    </w:p>
    <w:p>
      <w:pPr>
        <w:pStyle w:val="20"/>
        <w:spacing w:before="78" w:after="78"/>
        <w:rPr>
          <w:rFonts w:hint="eastAsia" w:eastAsia="宋体"/>
          <w:color w:val="000000" w:themeColor="text1"/>
          <w:lang w:eastAsia="zh-CN"/>
          <w14:textFill>
            <w14:solidFill>
              <w14:schemeClr w14:val="tx1"/>
            </w14:solidFill>
          </w14:textFill>
        </w:rPr>
      </w:pPr>
      <w:r>
        <w:rPr>
          <w:rStyle w:val="40"/>
          <w:rFonts w:hint="eastAsia"/>
          <w:color w:val="000000" w:themeColor="text1"/>
          <w14:textFill>
            <w14:solidFill>
              <w14:schemeClr w14:val="tx1"/>
            </w14:solidFill>
          </w14:textFill>
        </w:rPr>
        <w:t>9</w:t>
      </w:r>
      <w:r>
        <w:rPr>
          <w:rStyle w:val="40"/>
          <w:color w:val="000000" w:themeColor="text1"/>
          <w14:textFill>
            <w14:solidFill>
              <w14:schemeClr w14:val="tx1"/>
            </w14:solidFill>
          </w14:textFill>
        </w:rPr>
        <w:t xml:space="preserve"> </w:t>
      </w:r>
      <w:r>
        <w:rPr>
          <w:rStyle w:val="40"/>
          <w:rFonts w:hint="eastAsia"/>
          <w:color w:val="000000" w:themeColor="text1"/>
          <w14:textFill>
            <w14:solidFill>
              <w14:schemeClr w14:val="tx1"/>
            </w14:solidFill>
          </w14:textFill>
        </w:rPr>
        <w:t>持续改进</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7</w:t>
      </w:r>
    </w:p>
    <w:p>
      <w:pPr>
        <w:pStyle w:val="20"/>
        <w:spacing w:before="78" w:after="78"/>
        <w:rPr>
          <w:rFonts w:hint="eastAsia" w:eastAsia="宋体" w:asciiTheme="minorHAnsi" w:hAnsiTheme="minorHAnsi" w:cstheme="minorBidi"/>
          <w:color w:val="000000" w:themeColor="text1"/>
          <w:szCs w:val="22"/>
          <w:lang w:val="en-US" w:eastAsia="zh-CN"/>
          <w14:textFill>
            <w14:solidFill>
              <w14:schemeClr w14:val="tx1"/>
            </w14:solidFill>
          </w14:textFill>
        </w:rPr>
      </w:pPr>
      <w:r>
        <w:fldChar w:fldCharType="begin"/>
      </w:r>
      <w:r>
        <w:instrText xml:space="preserve"> HYPERLINK \l "_Toc48305705" </w:instrText>
      </w:r>
      <w:r>
        <w:fldChar w:fldCharType="separate"/>
      </w:r>
      <w:r>
        <w:rPr>
          <w:rStyle w:val="40"/>
          <w:color w:val="000000" w:themeColor="text1"/>
          <w14:textFill>
            <w14:solidFill>
              <w14:schemeClr w14:val="tx1"/>
            </w14:solidFill>
          </w14:textFill>
        </w:rPr>
        <w:t>参 考 文 献</w:t>
      </w:r>
      <w:r>
        <w:rPr>
          <w:color w:val="000000" w:themeColor="text1"/>
          <w14:textFill>
            <w14:solidFill>
              <w14:schemeClr w14:val="tx1"/>
            </w14:solidFill>
          </w14:textFill>
        </w:rPr>
        <w:tab/>
      </w:r>
      <w:r>
        <w:rPr>
          <w:rFonts w:hint="eastAsia"/>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8</w:t>
      </w:r>
    </w:p>
    <w:p>
      <w:pPr>
        <w:tabs>
          <w:tab w:val="left" w:pos="8647"/>
        </w:tabs>
        <w:ind w:firstLine="420" w:firstLineChars="200"/>
        <w:rPr>
          <w:rFonts w:ascii="宋体" w:hAnsi="宋体"/>
          <w:color w:val="000000" w:themeColor="text1"/>
          <w:szCs w:val="28"/>
          <w14:textFill>
            <w14:solidFill>
              <w14:schemeClr w14:val="tx1"/>
            </w14:solidFill>
          </w14:textFill>
        </w:rPr>
      </w:pPr>
      <w:r>
        <w:rPr>
          <w:rFonts w:ascii="宋体" w:hAnsi="宋体"/>
          <w:color w:val="000000" w:themeColor="text1"/>
          <w:szCs w:val="28"/>
          <w14:textFill>
            <w14:solidFill>
              <w14:schemeClr w14:val="tx1"/>
            </w14:solidFill>
          </w14:textFill>
        </w:rPr>
        <w:fldChar w:fldCharType="end"/>
      </w:r>
    </w:p>
    <w:p>
      <w:pPr>
        <w:pStyle w:val="113"/>
        <w:rPr>
          <w:color w:val="000000" w:themeColor="text1"/>
          <w14:textFill>
            <w14:solidFill>
              <w14:schemeClr w14:val="tx1"/>
            </w14:solidFill>
          </w14:textFill>
        </w:rPr>
      </w:pPr>
      <w:bookmarkStart w:id="13" w:name="_Toc475694823"/>
      <w:bookmarkStart w:id="14" w:name="_Toc48305688"/>
      <w:r>
        <w:rPr>
          <w:rFonts w:hint="eastAsia"/>
          <w:color w:val="000000" w:themeColor="text1"/>
          <w14:textFill>
            <w14:solidFill>
              <w14:schemeClr w14:val="tx1"/>
            </w14:solidFill>
          </w14:textFill>
        </w:rPr>
        <w:t>前</w:t>
      </w:r>
      <w:bookmarkStart w:id="15" w:name="BKQY"/>
      <w:r>
        <w:rPr>
          <w:rFonts w:hAnsi="黑体"/>
          <w:color w:val="000000" w:themeColor="text1"/>
          <w14:textFill>
            <w14:solidFill>
              <w14:schemeClr w14:val="tx1"/>
            </w14:solidFill>
          </w14:textFill>
        </w:rPr>
        <w:t>  </w:t>
      </w:r>
      <w:r>
        <w:rPr>
          <w:rFonts w:hint="eastAsia"/>
          <w:color w:val="000000" w:themeColor="text1"/>
          <w14:textFill>
            <w14:solidFill>
              <w14:schemeClr w14:val="tx1"/>
            </w14:solidFill>
          </w14:textFill>
        </w:rPr>
        <w:t>言</w:t>
      </w:r>
      <w:bookmarkEnd w:id="13"/>
      <w:bookmarkEnd w:id="14"/>
      <w:bookmarkEnd w:id="15"/>
    </w:p>
    <w:p>
      <w:pPr>
        <w:ind w:firstLine="420" w:firstLineChars="20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本文件按照GB/T 1.1—20</w:t>
      </w:r>
      <w:r>
        <w:rPr>
          <w:rFonts w:ascii="宋体" w:hAnsi="宋体"/>
          <w:color w:val="000000" w:themeColor="text1"/>
          <w:szCs w:val="28"/>
          <w14:textFill>
            <w14:solidFill>
              <w14:schemeClr w14:val="tx1"/>
            </w14:solidFill>
          </w14:textFill>
        </w:rPr>
        <w:t>20</w:t>
      </w:r>
      <w:r>
        <w:rPr>
          <w:rFonts w:hint="eastAsia" w:ascii="宋体" w:hAnsi="宋体"/>
          <w:color w:val="000000" w:themeColor="text1"/>
          <w:szCs w:val="28"/>
          <w14:textFill>
            <w14:solidFill>
              <w14:schemeClr w14:val="tx1"/>
            </w14:solidFill>
          </w14:textFill>
        </w:rPr>
        <w:t>《标准化工作导则 第1部分：标准化文件的结构和起草规则》的规定起草。</w:t>
      </w:r>
    </w:p>
    <w:p>
      <w:pPr>
        <w:ind w:firstLine="420" w:firstLineChars="20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本</w:t>
      </w:r>
      <w:r>
        <w:rPr>
          <w:rFonts w:hint="eastAsia"/>
          <w:color w:val="000000" w:themeColor="text1"/>
          <w14:textFill>
            <w14:solidFill>
              <w14:schemeClr w14:val="tx1"/>
            </w14:solidFill>
          </w14:textFill>
        </w:rPr>
        <w:t>文件</w:t>
      </w:r>
      <w:r>
        <w:rPr>
          <w:rFonts w:hint="eastAsia" w:ascii="宋体" w:hAnsi="宋体"/>
          <w:color w:val="000000" w:themeColor="text1"/>
          <w:szCs w:val="28"/>
          <w14:textFill>
            <w14:solidFill>
              <w14:schemeClr w14:val="tx1"/>
            </w14:solidFill>
          </w14:textFill>
        </w:rPr>
        <w:t>由石家庄市市场监督管理局提出。</w:t>
      </w:r>
    </w:p>
    <w:p>
      <w:pPr>
        <w:ind w:firstLine="420" w:firstLineChars="20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本</w:t>
      </w:r>
      <w:r>
        <w:rPr>
          <w:rFonts w:hint="eastAsia"/>
          <w:color w:val="000000" w:themeColor="text1"/>
          <w14:textFill>
            <w14:solidFill>
              <w14:schemeClr w14:val="tx1"/>
            </w14:solidFill>
          </w14:textFill>
        </w:rPr>
        <w:t>文件</w:t>
      </w:r>
      <w:r>
        <w:rPr>
          <w:rFonts w:hint="eastAsia" w:ascii="宋体" w:hAnsi="宋体"/>
          <w:color w:val="000000" w:themeColor="text1"/>
          <w:szCs w:val="28"/>
          <w14:textFill>
            <w14:solidFill>
              <w14:schemeClr w14:val="tx1"/>
            </w14:solidFill>
          </w14:textFill>
        </w:rPr>
        <w:t>由河北省服务业标准化委员会</w:t>
      </w:r>
      <w:r>
        <w:rPr>
          <w:rFonts w:ascii="宋体" w:hAnsi="宋体"/>
          <w:color w:val="000000" w:themeColor="text1"/>
          <w:szCs w:val="28"/>
          <w14:textFill>
            <w14:solidFill>
              <w14:schemeClr w14:val="tx1"/>
            </w14:solidFill>
          </w14:textFill>
        </w:rPr>
        <w:t>归口。</w:t>
      </w:r>
    </w:p>
    <w:p>
      <w:pPr>
        <w:ind w:firstLine="420" w:firstLineChars="20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本</w:t>
      </w:r>
      <w:r>
        <w:rPr>
          <w:rFonts w:hint="eastAsia"/>
          <w:color w:val="000000" w:themeColor="text1"/>
          <w14:textFill>
            <w14:solidFill>
              <w14:schemeClr w14:val="tx1"/>
            </w14:solidFill>
          </w14:textFill>
        </w:rPr>
        <w:t>文件</w:t>
      </w:r>
      <w:r>
        <w:rPr>
          <w:rFonts w:ascii="宋体" w:hAnsi="宋体"/>
          <w:color w:val="000000" w:themeColor="text1"/>
          <w:szCs w:val="28"/>
          <w14:textFill>
            <w14:solidFill>
              <w14:schemeClr w14:val="tx1"/>
            </w14:solidFill>
          </w14:textFill>
        </w:rPr>
        <w:t>起草单位：</w:t>
      </w:r>
      <w:r>
        <w:rPr>
          <w:rFonts w:hint="eastAsia" w:ascii="宋体" w:hAnsi="宋体"/>
          <w:color w:val="000000" w:themeColor="text1"/>
          <w:szCs w:val="28"/>
          <w14:textFill>
            <w14:solidFill>
              <w14:schemeClr w14:val="tx1"/>
            </w14:solidFill>
          </w14:textFill>
        </w:rPr>
        <w:t>河北万象天成商业管理有限公司、河北亿昇商务服务有限公司</w:t>
      </w:r>
      <w:r>
        <w:rPr>
          <w:rFonts w:hint="eastAsia" w:ascii="宋体" w:hAnsi="宋体"/>
          <w:color w:val="000000" w:themeColor="text1"/>
          <w:szCs w:val="28"/>
          <w:lang w:eastAsia="zh-CN"/>
          <w14:textFill>
            <w14:solidFill>
              <w14:schemeClr w14:val="tx1"/>
            </w14:solidFill>
          </w14:textFill>
        </w:rPr>
        <w:t>、</w:t>
      </w:r>
      <w:r>
        <w:rPr>
          <w:rFonts w:hint="eastAsia" w:ascii="宋体" w:hAnsi="宋体"/>
          <w:color w:val="000000" w:themeColor="text1"/>
          <w:szCs w:val="28"/>
          <w14:textFill>
            <w14:solidFill>
              <w14:schemeClr w14:val="tx1"/>
            </w14:solidFill>
          </w14:textFill>
        </w:rPr>
        <w:t>石家庄市商业联合会</w:t>
      </w:r>
      <w:r>
        <w:rPr>
          <w:rFonts w:hint="eastAsia" w:ascii="宋体" w:hAnsi="宋体"/>
          <w:color w:val="000000" w:themeColor="text1"/>
          <w:szCs w:val="28"/>
          <w:lang w:eastAsia="zh-CN"/>
          <w14:textFill>
            <w14:solidFill>
              <w14:schemeClr w14:val="tx1"/>
            </w14:solidFill>
          </w14:textFill>
        </w:rPr>
        <w:t>、</w:t>
      </w:r>
      <w:r>
        <w:rPr>
          <w:rFonts w:hint="eastAsia" w:ascii="宋体" w:hAnsi="宋体"/>
          <w:color w:val="000000" w:themeColor="text1"/>
          <w:szCs w:val="28"/>
          <w14:textFill>
            <w14:solidFill>
              <w14:schemeClr w14:val="tx1"/>
            </w14:solidFill>
          </w14:textFill>
        </w:rPr>
        <w:t>石家庄寅湃商贸有限公司。</w:t>
      </w:r>
    </w:p>
    <w:p>
      <w:pPr>
        <w:ind w:firstLine="420" w:firstLineChars="200"/>
        <w:rPr>
          <w:rFonts w:ascii="宋体" w:hAnsi="宋体"/>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本</w:t>
      </w:r>
      <w:r>
        <w:rPr>
          <w:rFonts w:hint="eastAsia"/>
          <w:color w:val="000000" w:themeColor="text1"/>
          <w14:textFill>
            <w14:solidFill>
              <w14:schemeClr w14:val="tx1"/>
            </w14:solidFill>
          </w14:textFill>
        </w:rPr>
        <w:t>文件</w:t>
      </w:r>
      <w:r>
        <w:rPr>
          <w:rFonts w:hint="eastAsia" w:ascii="宋体" w:hAnsi="宋体"/>
          <w:color w:val="000000" w:themeColor="text1"/>
          <w:szCs w:val="28"/>
          <w14:textFill>
            <w14:solidFill>
              <w14:schemeClr w14:val="tx1"/>
            </w14:solidFill>
          </w14:textFill>
        </w:rPr>
        <w:t>主要起草人：</w:t>
      </w:r>
      <w:r>
        <w:rPr>
          <w:rFonts w:hint="eastAsia"/>
          <w:color w:val="000000" w:themeColor="text1"/>
          <w14:textFill>
            <w14:solidFill>
              <w14:schemeClr w14:val="tx1"/>
            </w14:solidFill>
          </w14:textFill>
        </w:rPr>
        <w:t>赵丽萍、李小兵、万里、王振杰、王淑贤，谢淑玲、周士肖、杜姝慧。</w:t>
      </w: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pPr>
    </w:p>
    <w:p>
      <w:pPr>
        <w:rPr>
          <w:rFonts w:ascii="宋体" w:hAnsi="宋体"/>
          <w:szCs w:val="28"/>
        </w:rPr>
        <w:sectPr>
          <w:headerReference r:id="rId4" w:type="default"/>
          <w:footerReference r:id="rId5" w:type="default"/>
          <w:pgSz w:w="11906" w:h="16838"/>
          <w:pgMar w:top="567" w:right="1134" w:bottom="1134" w:left="1418" w:header="1418" w:footer="1134" w:gutter="0"/>
          <w:pgNumType w:fmt="upperRoman" w:start="1"/>
          <w:cols w:space="0" w:num="1"/>
          <w:formProt w:val="0"/>
          <w:docGrid w:type="lines" w:linePitch="312" w:charSpace="0"/>
        </w:sectPr>
      </w:pPr>
    </w:p>
    <w:p>
      <w:pPr>
        <w:pStyle w:val="51"/>
        <w:rPr>
          <w:color w:val="000000" w:themeColor="text1"/>
          <w14:textFill>
            <w14:solidFill>
              <w14:schemeClr w14:val="tx1"/>
            </w14:solidFill>
          </w14:textFill>
        </w:rPr>
      </w:pPr>
      <w:r>
        <w:rPr>
          <w:rFonts w:hint="eastAsia"/>
          <w:color w:val="000000" w:themeColor="text1"/>
          <w14:textFill>
            <w14:solidFill>
              <w14:schemeClr w14:val="tx1"/>
            </w14:solidFill>
          </w14:textFill>
        </w:rPr>
        <w:t>购物中心无接触服务规范</w:t>
      </w:r>
    </w:p>
    <w:p>
      <w:pPr>
        <w:pStyle w:val="46"/>
        <w:spacing w:before="312" w:after="312"/>
        <w:rPr>
          <w:color w:val="000000" w:themeColor="text1"/>
          <w14:textFill>
            <w14:solidFill>
              <w14:schemeClr w14:val="tx1"/>
            </w14:solidFill>
          </w14:textFill>
        </w:rPr>
      </w:pPr>
      <w:r>
        <w:rPr>
          <w:rFonts w:hint="eastAsia"/>
          <w:color w:val="000000" w:themeColor="text1"/>
          <w14:textFill>
            <w14:solidFill>
              <w14:schemeClr w14:val="tx1"/>
            </w14:solidFill>
          </w14:textFill>
        </w:rPr>
        <w:t>范围</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本文件规定了购物中心开展无接触服务的总体要求、服务内容及流程、入驻商户服务、服务质量管控、异常情况处理和持续改进。</w:t>
      </w:r>
    </w:p>
    <w:p>
      <w:pPr>
        <w:pStyle w:val="24"/>
        <w:rPr>
          <w:rFonts w:hAnsi="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本文件适用于购物中心开展无接触服务的实施和检查改进。</w:t>
      </w:r>
    </w:p>
    <w:p>
      <w:pPr>
        <w:pStyle w:val="46"/>
        <w:spacing w:before="312" w:after="312"/>
        <w:rPr>
          <w:rFonts w:hAnsi="黑体" w:cs="黑体"/>
          <w:color w:val="000000" w:themeColor="text1"/>
          <w14:textFill>
            <w14:solidFill>
              <w14:schemeClr w14:val="tx1"/>
            </w14:solidFill>
          </w14:textFill>
        </w:rPr>
      </w:pPr>
      <w:r>
        <w:rPr>
          <w:rFonts w:hint="eastAsia" w:hAnsi="黑体" w:cs="黑体"/>
          <w:color w:val="000000" w:themeColor="text1"/>
          <w14:textFill>
            <w14:solidFill>
              <w14:schemeClr w14:val="tx1"/>
            </w14:solidFill>
          </w14:textFill>
        </w:rPr>
        <w:t>规范性引用文件</w:t>
      </w:r>
    </w:p>
    <w:p>
      <w:pPr>
        <w:pStyle w:val="24"/>
        <w:rPr>
          <w:color w:val="000000" w:themeColor="text1"/>
          <w14:textFill>
            <w14:solidFill>
              <w14:schemeClr w14:val="tx1"/>
            </w14:solidFill>
          </w14:textFill>
        </w:rPr>
      </w:pPr>
      <w:r>
        <w:rPr>
          <w:rFonts w:hint="eastAsia" w:hAnsi="黑体" w:cs="黑体"/>
          <w:color w:val="000000" w:themeColor="text1"/>
          <w14:textFill>
            <w14:solidFill>
              <w14:schemeClr w14:val="tx1"/>
            </w14:solidFill>
          </w14:textFill>
        </w:rPr>
        <w:t>本文件没有规范性引用文件。</w:t>
      </w:r>
    </w:p>
    <w:p>
      <w:pPr>
        <w:pStyle w:val="46"/>
        <w:spacing w:before="312" w:after="312"/>
        <w:rPr>
          <w:rFonts w:hAnsi="黑体" w:cs="黑体"/>
          <w:color w:val="000000" w:themeColor="text1"/>
          <w14:textFill>
            <w14:solidFill>
              <w14:schemeClr w14:val="tx1"/>
            </w14:solidFill>
          </w14:textFill>
        </w:rPr>
      </w:pPr>
      <w:r>
        <w:rPr>
          <w:rFonts w:hint="eastAsia" w:hAnsi="黑体" w:cs="黑体"/>
          <w:color w:val="000000" w:themeColor="text1"/>
          <w14:textFill>
            <w14:solidFill>
              <w14:schemeClr w14:val="tx1"/>
            </w14:solidFill>
          </w14:textFill>
        </w:rPr>
        <w:t>术语和定义</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下列术语和定义适用于本文件。</w:t>
      </w:r>
    </w:p>
    <w:p>
      <w:pPr>
        <w:pStyle w:val="126"/>
        <w:rPr>
          <w:color w:val="000000" w:themeColor="text1"/>
          <w14:textFill>
            <w14:solidFill>
              <w14:schemeClr w14:val="tx1"/>
            </w14:solidFill>
          </w14:textFill>
        </w:rPr>
      </w:pPr>
    </w:p>
    <w:p>
      <w:pPr>
        <w:pStyle w:val="24"/>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购物中心  </w:t>
      </w:r>
      <w:bookmarkStart w:id="16" w:name="OLE_LINK4"/>
      <w:bookmarkStart w:id="17" w:name="OLE_LINK5"/>
      <w:r>
        <w:rPr>
          <w:rFonts w:hint="eastAsia" w:ascii="黑体" w:hAnsi="黑体" w:eastAsia="黑体"/>
          <w:color w:val="000000" w:themeColor="text1"/>
          <w14:textFill>
            <w14:solidFill>
              <w14:schemeClr w14:val="tx1"/>
            </w14:solidFill>
          </w14:textFill>
        </w:rPr>
        <w:t>shopping mall</w:t>
      </w:r>
      <w:bookmarkEnd w:id="16"/>
      <w:bookmarkEnd w:id="17"/>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多种零售店铺、餐饮、娱乐等服务设施集中在一个建筑物内或一个区域内，向消费者提供综合性服务的商业集合体。 </w:t>
      </w:r>
    </w:p>
    <w:p>
      <w:pPr>
        <w:pStyle w:val="126"/>
        <w:rPr>
          <w:color w:val="000000" w:themeColor="text1"/>
          <w14:textFill>
            <w14:solidFill>
              <w14:schemeClr w14:val="tx1"/>
            </w14:solidFill>
          </w14:textFill>
        </w:rPr>
      </w:pPr>
    </w:p>
    <w:p>
      <w:pPr>
        <w:pStyle w:val="24"/>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突发公共卫生事件 </w:t>
      </w:r>
      <w:bookmarkStart w:id="18" w:name="OLE_LINK2"/>
      <w:bookmarkStart w:id="19" w:name="OLE_LINK3"/>
      <w:bookmarkStart w:id="20" w:name="OLE_LINK1"/>
      <w:r>
        <w:rPr>
          <w:rFonts w:hint="eastAsia" w:ascii="黑体" w:hAnsi="黑体" w:eastAsia="黑体"/>
          <w:color w:val="000000" w:themeColor="text1"/>
          <w14:textFill>
            <w14:solidFill>
              <w14:schemeClr w14:val="tx1"/>
            </w14:solidFill>
          </w14:textFill>
        </w:rPr>
        <w:t>public health</w:t>
      </w:r>
      <w:bookmarkEnd w:id="18"/>
      <w:bookmarkEnd w:id="19"/>
      <w:r>
        <w:rPr>
          <w:rFonts w:hint="eastAsia" w:ascii="黑体" w:hAnsi="黑体" w:eastAsia="黑体"/>
          <w:color w:val="000000" w:themeColor="text1"/>
          <w14:textFill>
            <w14:solidFill>
              <w14:schemeClr w14:val="tx1"/>
            </w14:solidFill>
          </w14:textFill>
        </w:rPr>
        <w:t xml:space="preserve"> emergencies</w:t>
      </w:r>
      <w:bookmarkEnd w:id="20"/>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突然发生，造成或者可能造成社会公众健康严重损害的重大传染病疫情、群体性不明原因疾病、重大食物和职业中毒以及其他严重影响公众健康的事件。</w:t>
      </w:r>
    </w:p>
    <w:p>
      <w:pPr>
        <w:pStyle w:val="126"/>
        <w:rPr>
          <w:color w:val="000000" w:themeColor="text1"/>
          <w14:textFill>
            <w14:solidFill>
              <w14:schemeClr w14:val="tx1"/>
            </w14:solidFill>
          </w14:textFill>
        </w:rPr>
      </w:pPr>
    </w:p>
    <w:p>
      <w:pPr>
        <w:widowControl/>
        <w:ind w:firstLine="420" w:firstLineChars="200"/>
        <w:jc w:val="left"/>
        <w:rPr>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无接触服务 service </w:t>
      </w:r>
      <w:r>
        <w:rPr>
          <w:rFonts w:ascii="TimesNewRomanPSMT" w:hAnsi="TimesNewRomanPSMT" w:eastAsia="TimesNewRomanPSMT" w:cs="TimesNewRomanPSMT"/>
          <w:color w:val="000000" w:themeColor="text1"/>
          <w:kern w:val="0"/>
          <w:szCs w:val="21"/>
          <w:lang w:bidi="ar"/>
          <w14:textFill>
            <w14:solidFill>
              <w14:schemeClr w14:val="tx1"/>
            </w14:solidFill>
          </w14:textFill>
        </w:rPr>
        <w:t>without physical touch</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避免直接面对面或身体接触的服务。</w:t>
      </w:r>
    </w:p>
    <w:p>
      <w:pPr>
        <w:pStyle w:val="46"/>
        <w:spacing w:before="312" w:after="312"/>
        <w:rPr>
          <w:color w:val="000000" w:themeColor="text1"/>
          <w14:textFill>
            <w14:solidFill>
              <w14:schemeClr w14:val="tx1"/>
            </w14:solidFill>
          </w14:textFill>
        </w:rPr>
      </w:pPr>
      <w:r>
        <w:rPr>
          <w:rFonts w:hint="eastAsia"/>
          <w:color w:val="000000" w:themeColor="text1"/>
          <w14:textFill>
            <w14:solidFill>
              <w14:schemeClr w14:val="tx1"/>
            </w14:solidFill>
          </w14:textFill>
        </w:rPr>
        <w:t>总体要求</w:t>
      </w:r>
    </w:p>
    <w:p>
      <w:pPr>
        <w:pStyle w:val="43"/>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hAnsi="黑体" w:cs="黑体"/>
          <w:color w:val="000000" w:themeColor="text1"/>
          <w14:textFill>
            <w14:solidFill>
              <w14:schemeClr w14:val="tx1"/>
            </w14:solidFill>
          </w14:textFill>
        </w:rPr>
        <w:t>4.1</w:t>
      </w:r>
      <w:r>
        <w:rPr>
          <w:rFonts w:hint="eastAsia" w:ascii="宋体" w:hAnsi="宋体" w:eastAsia="宋体" w:cs="宋体"/>
          <w:color w:val="000000" w:themeColor="text1"/>
          <w14:textFill>
            <w14:solidFill>
              <w14:schemeClr w14:val="tx1"/>
            </w14:solidFill>
          </w14:textFill>
        </w:rPr>
        <w:t xml:space="preserve"> 应根据突发公共卫生事件的性质和政府有关规定，确定或调整无接触服务的内容和流程。</w:t>
      </w:r>
    </w:p>
    <w:p>
      <w:pPr>
        <w:pStyle w:val="43"/>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hAnsi="黑体" w:cs="黑体"/>
          <w:color w:val="000000" w:themeColor="text1"/>
          <w14:textFill>
            <w14:solidFill>
              <w14:schemeClr w14:val="tx1"/>
            </w14:solidFill>
          </w14:textFill>
        </w:rPr>
        <w:t xml:space="preserve">4.2 </w:t>
      </w:r>
      <w:r>
        <w:rPr>
          <w:rFonts w:hint="eastAsia" w:ascii="宋体" w:hAnsi="宋体" w:eastAsia="宋体" w:cs="宋体"/>
          <w:color w:val="000000" w:themeColor="text1"/>
          <w14:textFill>
            <w14:solidFill>
              <w14:schemeClr w14:val="tx1"/>
            </w14:solidFill>
          </w14:textFill>
        </w:rPr>
        <w:t>应对购物中心不同业态进行区域划分，实施不同的无接触服务规范。</w:t>
      </w:r>
    </w:p>
    <w:p>
      <w:pPr>
        <w:pStyle w:val="43"/>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4.3 应对所提供的无接触服务进行闭合式管理，保证无接触服务的有效性。</w:t>
      </w:r>
    </w:p>
    <w:p>
      <w:pPr>
        <w:pStyle w:val="43"/>
        <w:numPr>
          <w:ilvl w:val="0"/>
          <w:numId w:val="0"/>
        </w:numPr>
        <w:spacing w:before="0" w:beforeLines="0" w:after="0" w:afterLines="0" w:line="360" w:lineRule="auto"/>
        <w:rPr>
          <w:rFonts w:ascii="宋体" w:hAnsi="宋体" w:eastAsia="宋体" w:cs="宋体"/>
          <w:color w:val="000000" w:themeColor="text1"/>
          <w14:textFill>
            <w14:solidFill>
              <w14:schemeClr w14:val="tx1"/>
            </w14:solidFill>
          </w14:textFill>
        </w:rPr>
      </w:pPr>
      <w:r>
        <w:rPr>
          <w:rFonts w:hint="eastAsia" w:hAnsi="黑体" w:cs="黑体"/>
          <w:color w:val="000000" w:themeColor="text1"/>
          <w14:textFill>
            <w14:solidFill>
              <w14:schemeClr w14:val="tx1"/>
            </w14:solidFill>
          </w14:textFill>
        </w:rPr>
        <w:t xml:space="preserve">4.4 </w:t>
      </w:r>
      <w:r>
        <w:rPr>
          <w:rFonts w:hint="eastAsia" w:ascii="宋体" w:hAnsi="宋体" w:eastAsia="宋体" w:cs="宋体"/>
          <w:color w:val="000000" w:themeColor="text1"/>
          <w14:textFill>
            <w14:solidFill>
              <w14:schemeClr w14:val="tx1"/>
            </w14:solidFill>
          </w14:textFill>
        </w:rPr>
        <w:t>应制定预案，对相关商户及人员提出要求，并加强培训和进行必要的演练，保证预案及时启动和实施效果。</w:t>
      </w:r>
    </w:p>
    <w:p>
      <w:pPr>
        <w:pStyle w:val="24"/>
        <w:ind w:firstLine="0" w:firstLineChars="0"/>
        <w:rPr>
          <w:rFonts w:hAnsi="宋体" w:cs="宋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4.5 </w:t>
      </w:r>
      <w:r>
        <w:rPr>
          <w:rFonts w:hint="eastAsia" w:hAnsi="宋体" w:cs="宋体"/>
          <w:color w:val="000000" w:themeColor="text1"/>
          <w14:textFill>
            <w14:solidFill>
              <w14:schemeClr w14:val="tx1"/>
            </w14:solidFill>
          </w14:textFill>
        </w:rPr>
        <w:t>应将顾客的体验感和满意度纳入到对无接触服务的整体考量，做到持续改进。</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4.6 不得与现行法律法规有关规定相抵触。</w:t>
      </w:r>
    </w:p>
    <w:p>
      <w:pPr>
        <w:pStyle w:val="46"/>
        <w:spacing w:before="312" w:after="312"/>
        <w:rPr>
          <w:color w:val="000000" w:themeColor="text1"/>
          <w14:textFill>
            <w14:solidFill>
              <w14:schemeClr w14:val="tx1"/>
            </w14:solidFill>
          </w14:textFill>
        </w:rPr>
      </w:pPr>
      <w:r>
        <w:rPr>
          <w:rFonts w:hint="eastAsia"/>
          <w:color w:val="000000" w:themeColor="text1"/>
          <w14:textFill>
            <w14:solidFill>
              <w14:schemeClr w14:val="tx1"/>
            </w14:solidFill>
          </w14:textFill>
        </w:rPr>
        <w:t>服务内容和要求</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信息公布</w:t>
      </w:r>
    </w:p>
    <w:p>
      <w:pPr>
        <w:pStyle w:val="24"/>
        <w:ind w:firstLine="0" w:firstLineChars="0"/>
        <w:jc w:val="left"/>
        <w:rPr>
          <w:rStyle w:val="147"/>
          <w:rFonts w:hAnsi="宋体" w:cs="宋体"/>
          <w:color w:val="000000" w:themeColor="text1"/>
          <w14:textFill>
            <w14:solidFill>
              <w14:schemeClr w14:val="tx1"/>
            </w14:solidFill>
          </w14:textFill>
        </w:rPr>
      </w:pPr>
      <w:r>
        <w:rPr>
          <w:rStyle w:val="147"/>
          <w:rFonts w:hint="eastAsia" w:hAnsi="宋体" w:cs="宋体"/>
          <w:color w:val="000000" w:themeColor="text1"/>
          <w14:textFill>
            <w14:solidFill>
              <w14:schemeClr w14:val="tx1"/>
            </w14:solidFill>
          </w14:textFill>
        </w:rPr>
        <w:t>5.1.1 应建立疫情防控信息，包括但不限于当地防疫防控政策、购物中心入场相关要求等的动态发布机制，并对发布内容及时更新；</w:t>
      </w:r>
    </w:p>
    <w:p>
      <w:pPr>
        <w:pStyle w:val="24"/>
        <w:ind w:firstLine="0" w:firstLineChars="0"/>
        <w:jc w:val="left"/>
        <w:rPr>
          <w:rFonts w:hAnsi="宋体" w:cs="宋体"/>
          <w:color w:val="000000" w:themeColor="text1"/>
          <w14:textFill>
            <w14:solidFill>
              <w14:schemeClr w14:val="tx1"/>
            </w14:solidFill>
          </w14:textFill>
        </w:rPr>
      </w:pPr>
      <w:r>
        <w:rPr>
          <w:rStyle w:val="147"/>
          <w:rFonts w:hint="eastAsia" w:hAnsi="宋体" w:cs="宋体"/>
          <w:color w:val="000000" w:themeColor="text1"/>
          <w14:textFill>
            <w14:solidFill>
              <w14:schemeClr w14:val="tx1"/>
            </w14:solidFill>
          </w14:textFill>
        </w:rPr>
        <w:t xml:space="preserve">5.1.2 </w:t>
      </w:r>
      <w:r>
        <w:rPr>
          <w:rFonts w:hint="eastAsia" w:hAnsi="宋体" w:cs="宋体"/>
          <w:color w:val="000000" w:themeColor="text1"/>
          <w14:textFill>
            <w14:solidFill>
              <w14:schemeClr w14:val="tx1"/>
            </w14:solidFill>
          </w14:textFill>
        </w:rPr>
        <w:t>宜将业态区域划分及所在楼层、主力店和主要品牌分布、购物中心及主力店营业时间等信息在电子屏幕等载体上进行公示，以合理引导客流。</w:t>
      </w:r>
    </w:p>
    <w:p>
      <w:pPr>
        <w:pStyle w:val="24"/>
        <w:ind w:firstLine="0" w:firstLineChars="0"/>
        <w:jc w:val="left"/>
        <w:rPr>
          <w:rFonts w:hAnsi="宋体" w:cs="宋体"/>
          <w:color w:val="000000" w:themeColor="text1"/>
          <w14:textFill>
            <w14:solidFill>
              <w14:schemeClr w14:val="tx1"/>
            </w14:solidFill>
          </w14:textFill>
        </w:rPr>
      </w:pPr>
      <w:r>
        <w:rPr>
          <w:rStyle w:val="147"/>
          <w:rFonts w:hint="eastAsia" w:hAnsi="宋体" w:cs="宋体"/>
          <w:color w:val="000000" w:themeColor="text1"/>
          <w14:textFill>
            <w14:solidFill>
              <w14:schemeClr w14:val="tx1"/>
            </w14:solidFill>
          </w14:textFill>
        </w:rPr>
        <w:t xml:space="preserve">5.1.2 </w:t>
      </w:r>
      <w:r>
        <w:rPr>
          <w:rFonts w:hint="eastAsia" w:hAnsi="宋体" w:cs="宋体"/>
          <w:color w:val="000000" w:themeColor="text1"/>
          <w14:textFill>
            <w14:solidFill>
              <w14:schemeClr w14:val="tx1"/>
            </w14:solidFill>
          </w14:textFill>
        </w:rPr>
        <w:t>应将疫情防控要求和人流控制等信息在电子屏幕上进行公示，并播放疫情防控政策和方法，每天应不少于4次。</w:t>
      </w:r>
    </w:p>
    <w:p>
      <w:pPr>
        <w:pStyle w:val="24"/>
        <w:ind w:firstLine="0" w:firstLineChars="0"/>
        <w:jc w:val="left"/>
        <w:rPr>
          <w:rFonts w:hAnsi="宋体" w:cs="宋体"/>
          <w:color w:val="000000" w:themeColor="text1"/>
          <w14:textFill>
            <w14:solidFill>
              <w14:schemeClr w14:val="tx1"/>
            </w14:solidFill>
          </w14:textFill>
        </w:rPr>
      </w:pPr>
      <w:r>
        <w:rPr>
          <w:rStyle w:val="147"/>
          <w:rFonts w:hint="eastAsia" w:hAnsi="宋体" w:cs="宋体"/>
          <w:color w:val="000000" w:themeColor="text1"/>
          <w14:textFill>
            <w14:solidFill>
              <w14:schemeClr w14:val="tx1"/>
            </w14:solidFill>
          </w14:textFill>
        </w:rPr>
        <w:t xml:space="preserve">5.1.3 </w:t>
      </w:r>
      <w:r>
        <w:rPr>
          <w:rFonts w:hint="eastAsia" w:hAnsi="宋体" w:cs="宋体"/>
          <w:color w:val="000000" w:themeColor="text1"/>
          <w14:textFill>
            <w14:solidFill>
              <w14:schemeClr w14:val="tx1"/>
            </w14:solidFill>
          </w14:textFill>
        </w:rPr>
        <w:t>应通过微信公众号、企业网站、室外大屏等载体将购物中心有关服务流程及所做临时变更、相关要求等信息告知顾客。</w:t>
      </w:r>
    </w:p>
    <w:p>
      <w:pPr>
        <w:pStyle w:val="24"/>
        <w:ind w:firstLine="0" w:firstLineChars="0"/>
        <w:jc w:val="left"/>
        <w:rPr>
          <w:rFonts w:hAnsi="宋体" w:cs="宋体"/>
          <w:color w:val="000000" w:themeColor="text1"/>
          <w14:textFill>
            <w14:solidFill>
              <w14:schemeClr w14:val="tx1"/>
            </w14:solidFill>
          </w14:textFill>
        </w:rPr>
      </w:pPr>
      <w:r>
        <w:rPr>
          <w:rStyle w:val="147"/>
          <w:rFonts w:hint="eastAsia" w:hAnsi="宋体" w:cs="宋体"/>
          <w:color w:val="000000" w:themeColor="text1"/>
          <w14:textFill>
            <w14:solidFill>
              <w14:schemeClr w14:val="tx1"/>
            </w14:solidFill>
          </w14:textFill>
        </w:rPr>
        <w:t xml:space="preserve">5.1.4  </w:t>
      </w:r>
      <w:r>
        <w:rPr>
          <w:rFonts w:hint="eastAsia" w:hAnsi="宋体" w:cs="宋体"/>
          <w:color w:val="000000" w:themeColor="text1"/>
          <w14:textFill>
            <w14:solidFill>
              <w14:schemeClr w14:val="tx1"/>
            </w14:solidFill>
          </w14:textFill>
        </w:rPr>
        <w:t>应及时将购物中心服务流程、规定和要求工作安排及时通知入驻商户。</w:t>
      </w:r>
    </w:p>
    <w:p>
      <w:pPr>
        <w:pStyle w:val="43"/>
        <w:rPr>
          <w:rFonts w:hAnsi="黑体" w:cs="黑体"/>
          <w:color w:val="000000" w:themeColor="text1"/>
          <w14:textFill>
            <w14:solidFill>
              <w14:schemeClr w14:val="tx1"/>
            </w14:solidFill>
          </w14:textFill>
        </w:rPr>
      </w:pPr>
      <w:r>
        <w:rPr>
          <w:rFonts w:hint="eastAsia" w:hAnsi="黑体" w:cs="黑体"/>
          <w:color w:val="000000" w:themeColor="text1"/>
          <w14:textFill>
            <w14:solidFill>
              <w14:schemeClr w14:val="tx1"/>
            </w14:solidFill>
          </w14:textFill>
        </w:rPr>
        <w:t>动线规划及导购系统</w:t>
      </w:r>
    </w:p>
    <w:p>
      <w:pPr>
        <w:pStyle w:val="47"/>
        <w:numPr>
          <w:ilvl w:val="2"/>
          <w:numId w:val="0"/>
        </w:num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5.2.1应根据疫情防控要求，对原有动线和导购系统进行重新规划，避免动线和人流交叉，并做好标识；5.2.2 应将购物中心、酒店、写字楼、公寓等进行分区管理，并使动线可直达相关区域，避免相互交叉；5.2.3 可在人流较大，动线变化或者容易出现方向辨识错误的地方设置疏导员，指引顾客按照路线购物和消费。                                                                                5.2.4 按疫情防控要求，为疏导员配备口罩、防护服、护目镜、一次性手套等相应的防护物品，确保疏导员的健康安全。                                                                       5.2.5 应根据动线的变化，重新规划导购系统。导购系统应满足疫情防控需要。</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出入口</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 xml:space="preserve">5.3.1 应根据疫情防控及区域划分，对出入口进行重新规划，满足开展无接触服务需要；          </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5.3.2 对于客流较大的购物中心主要出入口、地铁出入口等重点区域，宜进行出口与入口的分离，并做好入口和出口标识、路线指引；</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5.3.3 应在购物中心外围，统一设置明显入口标识、提示牌，以及其他临时措施告知牌等；</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5.3.4 应在出入口明显处公示政府有关防疫规定，以及购物中心的运营时间、相关要求和注意事项等；</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5.3.5 应在入口处设置隔离栏、隔离区，配备必要的消毒液、纸巾、体温测量枪、红外体温检测设备等防疫物品；</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5.3.6 应利用客流统计系统，对广场客流，根据业态的不同要求，对进场人数进行限制，并进行有序疏导，防止人群密集。</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5.3.7 应在排队入口路线地面设置1米间隔线标识，提醒顾客保持足够间距，并佩戴口罩；</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5.3.8 宜增加防疫物资自动售卖设备，方便顾客使用需求；</w:t>
      </w:r>
    </w:p>
    <w:p>
      <w:pPr>
        <w:pStyle w:val="24"/>
        <w:ind w:left="1680" w:hanging="1680" w:hangingChars="80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5.3.9 对出入口进行重新规划设置时，应考虑相关消防要求。</w:t>
      </w:r>
    </w:p>
    <w:p>
      <w:pPr>
        <w:pStyle w:val="43"/>
        <w:rPr>
          <w:rFonts w:ascii="宋体" w:eastAsia="宋体"/>
          <w:b/>
          <w:bCs/>
          <w:color w:val="000000" w:themeColor="text1"/>
          <w:szCs w:val="20"/>
          <w14:textFill>
            <w14:solidFill>
              <w14:schemeClr w14:val="tx1"/>
            </w14:solidFill>
          </w14:textFill>
        </w:rPr>
      </w:pPr>
      <w:r>
        <w:rPr>
          <w:rFonts w:hint="eastAsia" w:ascii="宋体" w:eastAsia="宋体"/>
          <w:b/>
          <w:bCs/>
          <w:color w:val="000000" w:themeColor="text1"/>
          <w:szCs w:val="20"/>
          <w14:textFill>
            <w14:solidFill>
              <w14:schemeClr w14:val="tx1"/>
            </w14:solidFill>
          </w14:textFill>
        </w:rPr>
        <w:t>大厅及客服中心</w:t>
      </w:r>
    </w:p>
    <w:p>
      <w:pPr>
        <w:pStyle w:val="47"/>
        <w:numPr>
          <w:ilvl w:val="2"/>
          <w:numId w:val="0"/>
        </w:numPr>
        <w:spacing w:before="0" w:beforeLines="0" w:after="0" w:afterLines="0"/>
        <w:rPr>
          <w:rFonts w:ascii="宋体" w:hAnsi="宋体" w:eastAsia="宋体" w:cs="宋体"/>
          <w:color w:val="000000" w:themeColor="text1"/>
          <w:szCs w:val="20"/>
          <w14:textFill>
            <w14:solidFill>
              <w14:schemeClr w14:val="tx1"/>
            </w14:solidFill>
          </w14:textFill>
        </w:rPr>
      </w:pPr>
      <w:r>
        <w:rPr>
          <w:rFonts w:hint="eastAsia" w:ascii="宋体" w:hAnsi="宋体" w:eastAsia="宋体" w:cs="宋体"/>
          <w:color w:val="000000" w:themeColor="text1"/>
          <w:szCs w:val="20"/>
          <w14:textFill>
            <w14:solidFill>
              <w14:schemeClr w14:val="tx1"/>
            </w14:solidFill>
          </w14:textFill>
        </w:rPr>
        <w:t>5.4.1通过大厅进入写字楼、酒店、公寓等通道应与购物中心的通道进行重新规划，并进行标示，以指引不同的顾客直接到达目的地，避免人流交叉；</w:t>
      </w:r>
    </w:p>
    <w:p>
      <w:pPr>
        <w:pStyle w:val="47"/>
        <w:numPr>
          <w:ilvl w:val="2"/>
          <w:numId w:val="0"/>
        </w:numPr>
        <w:spacing w:before="0" w:beforeLines="0" w:after="0" w:afterLines="0"/>
        <w:rPr>
          <w:rFonts w:ascii="宋体" w:hAnsi="宋体" w:eastAsia="宋体" w:cs="宋体"/>
          <w:color w:val="000000" w:themeColor="text1"/>
          <w:szCs w:val="20"/>
          <w14:textFill>
            <w14:solidFill>
              <w14:schemeClr w14:val="tx1"/>
            </w14:solidFill>
          </w14:textFill>
        </w:rPr>
      </w:pPr>
      <w:r>
        <w:rPr>
          <w:rFonts w:hint="eastAsia" w:ascii="宋体" w:hAnsi="宋体" w:eastAsia="宋体" w:cs="宋体"/>
          <w:color w:val="000000" w:themeColor="text1"/>
          <w:szCs w:val="20"/>
          <w14:textFill>
            <w14:solidFill>
              <w14:schemeClr w14:val="tx1"/>
            </w14:solidFill>
          </w14:textFill>
        </w:rPr>
        <w:t>5.4.2 在天气允许的情况下，应取掉大厅、通道内的门帘等；</w:t>
      </w:r>
    </w:p>
    <w:p>
      <w:pPr>
        <w:pStyle w:val="47"/>
        <w:numPr>
          <w:ilvl w:val="2"/>
          <w:numId w:val="0"/>
        </w:numPr>
        <w:spacing w:before="0" w:beforeLines="0" w:after="0" w:afterLines="0"/>
        <w:ind w:left="-10"/>
        <w:rPr>
          <w:rFonts w:ascii="宋体" w:hAnsi="宋体" w:eastAsia="宋体" w:cs="宋体"/>
          <w:color w:val="000000" w:themeColor="text1"/>
          <w:szCs w:val="20"/>
          <w14:textFill>
            <w14:solidFill>
              <w14:schemeClr w14:val="tx1"/>
            </w14:solidFill>
          </w14:textFill>
        </w:rPr>
      </w:pPr>
      <w:r>
        <w:rPr>
          <w:rFonts w:hint="eastAsia" w:ascii="宋体" w:hAnsi="宋体" w:eastAsia="宋体" w:cs="宋体"/>
          <w:color w:val="000000" w:themeColor="text1"/>
          <w:szCs w:val="20"/>
          <w14:textFill>
            <w14:solidFill>
              <w14:schemeClr w14:val="tx1"/>
            </w14:solidFill>
          </w14:textFill>
        </w:rPr>
        <w:t>5.4.3 在大厅张贴引导标识，并将相关动线、出入口进行公示和标识或者通过电子屏幕、广播等对品类分区进行提示；</w:t>
      </w:r>
    </w:p>
    <w:p>
      <w:pPr>
        <w:pStyle w:val="24"/>
        <w:ind w:firstLine="0" w:firstLineChars="0"/>
        <w:rPr>
          <w:rFonts w:hAnsi="宋体" w:cs="宋体"/>
          <w:color w:val="000000" w:themeColor="text1"/>
          <w14:textFill>
            <w14:solidFill>
              <w14:schemeClr w14:val="tx1"/>
            </w14:solidFill>
          </w14:textFill>
        </w:rPr>
      </w:pPr>
      <w:r>
        <w:rPr>
          <w:rFonts w:hint="eastAsia" w:hAnsi="宋体" w:cs="宋体"/>
          <w:b/>
          <w:bCs/>
          <w:color w:val="000000" w:themeColor="text1"/>
          <w14:textFill>
            <w14:solidFill>
              <w14:schemeClr w14:val="tx1"/>
            </w14:solidFill>
          </w14:textFill>
        </w:rPr>
        <w:t xml:space="preserve">5.4.4 </w:t>
      </w:r>
      <w:r>
        <w:rPr>
          <w:rFonts w:hint="eastAsia" w:hAnsi="宋体" w:cs="宋体"/>
          <w:color w:val="000000" w:themeColor="text1"/>
          <w14:textFill>
            <w14:solidFill>
              <w14:schemeClr w14:val="tx1"/>
            </w14:solidFill>
          </w14:textFill>
        </w:rPr>
        <w:t>客服中心宜摆放各业态、各楼层相关品牌营业状况动态分布图；</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5.4.5 客服中心应定时消毒。宜为顾客配备免洗消毒液、酒精棉片、消毒湿纸巾、体温枪以及一次性医用口罩等防护用品；</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5.4.6 客服中心现场回复顾客咨询，客服人员应与顾客保持一米以上的距离；</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5.4.7 客服中心应循环广播提醒顾客佩戴口罩和其他注意事项；</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5.4.8 大厅触摸屏宜停止使用。如果确实需要，应定时进行消毒，并摆放在合适的位置，供顾客自助式查询，配备免洗消毒液。</w:t>
      </w:r>
    </w:p>
    <w:p>
      <w:pPr>
        <w:pStyle w:val="24"/>
        <w:ind w:firstLine="0" w:firstLineChars="0"/>
        <w:rPr>
          <w:rFonts w:hAnsi="宋体" w:cs="宋体"/>
          <w:color w:val="000000" w:themeColor="text1"/>
          <w14:textFill>
            <w14:solidFill>
              <w14:schemeClr w14:val="tx1"/>
            </w14:solidFill>
          </w14:textFill>
        </w:rPr>
      </w:pPr>
    </w:p>
    <w:p>
      <w:pPr>
        <w:pStyle w:val="126"/>
        <w:rPr>
          <w:rFonts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通风设施</w:t>
      </w:r>
    </w:p>
    <w:p>
      <w:pPr>
        <w:pStyle w:val="126"/>
        <w:numPr>
          <w:ilvl w:val="1"/>
          <w:numId w:val="0"/>
        </w:numPr>
        <w:rPr>
          <w:rFonts w:ascii="黑体" w:hAnsi="黑体" w:eastAsia="黑体" w:cs="黑体"/>
          <w:color w:val="000000" w:themeColor="text1"/>
          <w14:textFill>
            <w14:solidFill>
              <w14:schemeClr w14:val="tx1"/>
            </w14:solidFill>
          </w14:textFill>
        </w:rPr>
      </w:pPr>
    </w:p>
    <w:p>
      <w:pPr>
        <w:pStyle w:val="126"/>
        <w:numPr>
          <w:ilvl w:val="0"/>
          <w:numId w:val="0"/>
        </w:numPr>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5.5.1 所有通风设备保持正常运转，新风口、新风机房、新风口过滤网和送风排风管道保持清洁，对整个供风设备、开放式冷却塔和送风管道定期消毒；</w:t>
      </w:r>
    </w:p>
    <w:p>
      <w:pPr>
        <w:pStyle w:val="126"/>
        <w:numPr>
          <w:ilvl w:val="0"/>
          <w:numId w:val="0"/>
        </w:numPr>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5.5.2 有可开窗的场所，在环境满足的条件下，开窗通风，保持室内良好通风状态；</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5.5.3 在正常的天气状况下，应将出入口手动大门置于开放状态；有条件的购物中心可采取自然通风；</w:t>
      </w:r>
    </w:p>
    <w:p>
      <w:pPr>
        <w:pStyle w:val="126"/>
        <w:numPr>
          <w:ilvl w:val="0"/>
          <w:numId w:val="0"/>
        </w:numPr>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5.5.4 进出口大门采取对开的方式，全部开启；</w:t>
      </w:r>
    </w:p>
    <w:p>
      <w:pPr>
        <w:pStyle w:val="126"/>
        <w:numPr>
          <w:ilvl w:val="0"/>
          <w:numId w:val="0"/>
        </w:numPr>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 xml:space="preserve">5.5.5 在天气满足的前提下，开店前2小时开启换气窗通风换气。 </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电梯</w:t>
      </w:r>
    </w:p>
    <w:p>
      <w:pPr>
        <w:pStyle w:val="47"/>
        <w:numPr>
          <w:ilvl w:val="2"/>
          <w:numId w:val="0"/>
        </w:num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5.6.1 疫情防控期间，应对购物中心电梯进行必要的调整，包括按区域和业态划分、运行时间、人数限制、停靠楼层等，并对相关信息及时进行公示；                                              5.6.2 直梯垂直动线应与各楼层动线规划相一致；                                                           5.6.3  对通往相关楼层的直梯做好提示、顾客佩戴口罩/通风和引导，合理限制乘梯人数；                               5.6.4 在电梯内规划站位标线，引导顾客分开站位。                                                    5.6.5 疫情防控期间，客梯、货梯不能混用，直梯轿厢内宜配备消毒液、纸巾等防护用品；                                5.6.6  电梯消毒时间、消毒频次等信息告知顾客，并做好作业期间的提示；                               5.6.7 每日应不少于4次对扶梯扶手带做清洁消毒。</w:t>
      </w:r>
    </w:p>
    <w:p>
      <w:pPr>
        <w:pStyle w:val="43"/>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停车场</w:t>
      </w:r>
    </w:p>
    <w:p>
      <w:pPr>
        <w:pStyle w:val="24"/>
        <w:ind w:firstLine="0" w:firstLineChars="0"/>
        <w:jc w:val="left"/>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5.7.1 </w:t>
      </w:r>
      <w:r>
        <w:rPr>
          <w:rFonts w:hint="eastAsia" w:hAnsi="宋体" w:cs="宋体"/>
          <w:color w:val="000000" w:themeColor="text1"/>
          <w14:textFill>
            <w14:solidFill>
              <w14:schemeClr w14:val="tx1"/>
            </w14:solidFill>
          </w14:textFill>
        </w:rPr>
        <w:t>应利用停车场管理系统，对进出场车流进行分析和</w:t>
      </w:r>
      <w:r>
        <w:rPr>
          <w:rFonts w:hint="eastAsia"/>
          <w:color w:val="000000" w:themeColor="text1"/>
          <w14:textFill>
            <w14:solidFill>
              <w14:schemeClr w14:val="tx1"/>
            </w14:solidFill>
          </w14:textFill>
        </w:rPr>
        <w:t>动态管理，根据人流控制的统一安排，确定停车位可使用数量，并将停车场车位信息进行公示。</w:t>
      </w:r>
    </w:p>
    <w:p>
      <w:pPr>
        <w:pStyle w:val="24"/>
        <w:ind w:firstLine="0" w:firstLineChars="0"/>
        <w:jc w:val="left"/>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5.7.2 </w:t>
      </w:r>
      <w:r>
        <w:rPr>
          <w:rFonts w:hint="eastAsia"/>
          <w:color w:val="000000" w:themeColor="text1"/>
          <w14:textFill>
            <w14:solidFill>
              <w14:schemeClr w14:val="tx1"/>
            </w14:solidFill>
          </w14:textFill>
        </w:rPr>
        <w:t>地下停车场应根据各楼层的业态及客流，做好动线的规划和直梯的管理，避免与进入购物中心动线形成相互交叉。</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5.7.3 应对员工车辆和顾客车辆进行区域划分，避免动线相互交叉影响；</w:t>
      </w:r>
    </w:p>
    <w:p>
      <w:pPr>
        <w:pStyle w:val="24"/>
        <w:ind w:firstLine="0" w:firstLineChars="0"/>
        <w:jc w:val="left"/>
        <w:rPr>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5.7.4 应对物流车辆进行单独管理，尽量避免</w:t>
      </w:r>
      <w:r>
        <w:rPr>
          <w:rFonts w:hint="eastAsia"/>
          <w:color w:val="000000" w:themeColor="text1"/>
          <w14:textFill>
            <w14:solidFill>
              <w14:schemeClr w14:val="tx1"/>
            </w14:solidFill>
          </w14:textFill>
        </w:rPr>
        <w:t>物流车辆进入停车场，并避免物流区域和动线与客流动线相互交叉。</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5.7.5  突发公共卫生事件期间，停车场入口处应设置人员值岗，做好测温、健康码检查；所有驶入停车场的车主、乘客均需停车测量体温；</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8.7.6 地下停车场保持新风系统运行，对车辆停放区域及主要干道进行每日不低于2次的消毒；</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5.7.6 停车场进出口处设置二维码缴费标识，实行线上缴费。</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卫生间</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5.8.1 应与服务外包公司共同对原有清洁和消杀内容及流程进行优化和强化，并对保洁人员进行必要的培训；</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5.8.2 应将卫生间清洁消毒范围、频次和时间，以及相关注意事项等信息告知顾客，使顾客能更做更合理的安排和安全使用；</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5.8.3 卫生间地面每天用消毒液浸泡的拖布擦拭消毒3次，隔板、蹲位每天喷洒消毒3次，厕位门拉手每次巡视时均需用消毒液浸泡的抹布擦拭消毒；</w:t>
      </w:r>
    </w:p>
    <w:p>
      <w:pPr>
        <w:pStyle w:val="24"/>
        <w:ind w:firstLine="0" w:firstLineChars="0"/>
        <w:jc w:val="left"/>
        <w:rPr>
          <w:rFonts w:hAnsi="宋体" w:cs="宋体"/>
          <w:color w:val="000000" w:themeColor="text1"/>
          <w:szCs w:val="21"/>
          <w14:textFill>
            <w14:solidFill>
              <w14:schemeClr w14:val="tx1"/>
            </w14:solidFill>
          </w14:textFill>
        </w:rPr>
      </w:pPr>
      <w:r>
        <w:rPr>
          <w:rFonts w:hint="eastAsia" w:hAnsi="宋体" w:cs="宋体"/>
          <w:color w:val="000000" w:themeColor="text1"/>
          <w14:textFill>
            <w14:solidFill>
              <w14:schemeClr w14:val="tx1"/>
            </w14:solidFill>
          </w14:textFill>
        </w:rPr>
        <w:t xml:space="preserve">5.8.4 </w:t>
      </w:r>
      <w:r>
        <w:rPr>
          <w:rFonts w:hint="eastAsia" w:hAnsi="宋体" w:cs="宋体"/>
          <w:color w:val="000000" w:themeColor="text1"/>
          <w:szCs w:val="21"/>
          <w14:textFill>
            <w14:solidFill>
              <w14:schemeClr w14:val="tx1"/>
            </w14:solidFill>
          </w14:textFill>
        </w:rPr>
        <w:t>洗手台面应配备洗手液、消毒液等清洁用品，供顾客使用，并说明注意事项和使用方法；</w:t>
      </w:r>
    </w:p>
    <w:p>
      <w:pPr>
        <w:pStyle w:val="24"/>
        <w:ind w:firstLine="0" w:firstLineChars="0"/>
        <w:jc w:val="left"/>
        <w:rPr>
          <w:rFonts w:hAnsi="宋体" w:cs="宋体"/>
          <w:color w:val="000000" w:themeColor="text1"/>
          <w:szCs w:val="21"/>
          <w14:textFill>
            <w14:solidFill>
              <w14:schemeClr w14:val="tx1"/>
            </w14:solidFill>
          </w14:textFill>
        </w:rPr>
      </w:pPr>
      <w:r>
        <w:rPr>
          <w:rFonts w:hint="eastAsia" w:hAnsi="宋体" w:cs="宋体"/>
          <w:color w:val="000000" w:themeColor="text1"/>
          <w14:textFill>
            <w14:solidFill>
              <w14:schemeClr w14:val="tx1"/>
            </w14:solidFill>
          </w14:textFill>
        </w:rPr>
        <w:t xml:space="preserve">5.8.3 </w:t>
      </w:r>
      <w:r>
        <w:rPr>
          <w:rFonts w:hint="eastAsia" w:hAnsi="宋体" w:cs="宋体"/>
          <w:color w:val="000000" w:themeColor="text1"/>
          <w:szCs w:val="21"/>
          <w14:textFill>
            <w14:solidFill>
              <w14:schemeClr w14:val="tx1"/>
            </w14:solidFill>
          </w14:textFill>
        </w:rPr>
        <w:t>清洁作业时应摆放作业提示牌，告知顾客；</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5.8.4 营业期间应全程开启卫生间排风以及换气扇。</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母婴室</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5.9.1 应加强母婴室的管理，对公共设施和用品进行重点清洁消毒，并公示清洁消毒的时间和频次；</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5.9.2 应对母婴室清洁和消毒内容和流程进行优化，增加清洁和消毒频次，根据实际情况，更换消毒液或调整消毒液使用配比。</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5.9.3 对母婴室配备的各项设施设备，宜用视频、流程图等形式告知顾客使用方法和注意事项；</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5.9.4 如确实需要关闭的，应及时告知顾客，宜提供必要的其他解决方案。</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物流及外卖处置区</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5.10.1 应根据疫情防控需要，对原有的物流及外卖处置区进行重新规划，对区域划分、动线、道路等进行优化；</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5.10.2 应对物流配送和快递外卖设立专门区域，并做明显分区、动线标识；</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5.10.2 应将物流及外卖服务和管理流程，以及相关要求进行张贴公示并通报入驻商户；</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5.10.4 餐饮企业购入食材应有检测报告，并建立进货渠道管理，有追溯记录；</w:t>
      </w:r>
    </w:p>
    <w:p>
      <w:pPr>
        <w:pStyle w:val="24"/>
        <w:ind w:firstLine="0" w:firstLineChars="0"/>
        <w:jc w:val="left"/>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5.10.5 零售商铺的快递、运输包裹进入商场前，对包裹外包装要进行消毒，原则上不接收来自疫区的快递和运输包裹。</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5.10.6 进行必要的检查监督。</w:t>
      </w:r>
    </w:p>
    <w:p>
      <w:pPr>
        <w:pStyle w:val="43"/>
        <w:rPr>
          <w:rFonts w:hAnsi="黑体" w:cs="黑体"/>
          <w:color w:val="000000" w:themeColor="text1"/>
          <w14:textFill>
            <w14:solidFill>
              <w14:schemeClr w14:val="tx1"/>
            </w14:solidFill>
          </w14:textFill>
        </w:rPr>
      </w:pPr>
      <w:r>
        <w:rPr>
          <w:rFonts w:hint="eastAsia" w:hAnsi="黑体" w:cs="黑体"/>
          <w:color w:val="000000" w:themeColor="text1"/>
          <w14:textFill>
            <w14:solidFill>
              <w14:schemeClr w14:val="tx1"/>
            </w14:solidFill>
          </w14:textFill>
        </w:rPr>
        <w:t>公共垃圾桶</w:t>
      </w:r>
    </w:p>
    <w:p>
      <w:pPr>
        <w:pStyle w:val="47"/>
        <w:numPr>
          <w:ilvl w:val="2"/>
          <w:numId w:val="0"/>
        </w:num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5.11.1 应对垃圾桶进行分类管理，根据疫情防控需要，对公共垃圾桶的摆放数量及位置重新规划；5.11.2 应做好公共垃圾桶分类标识及提示语；                                            5.11.3 垃圾桶应加盖密闭，垃圾要及时清运，并定时进行消毒；                                  5.11.4 在购物中心出入口设置丢弃口罩的专用垃圾桶；集中处理废弃口罩，并定时对垃圾桶进行消毒。5.11.5 疫情防控期间，应对保洁服务规范、流程等进行重新要求，包括保洁工具和消毒用品的选用、清洗、消毒等。</w:t>
      </w:r>
    </w:p>
    <w:p>
      <w:pPr>
        <w:pStyle w:val="46"/>
        <w:spacing w:before="312" w:after="312"/>
        <w:rPr>
          <w:color w:val="000000" w:themeColor="text1"/>
          <w14:textFill>
            <w14:solidFill>
              <w14:schemeClr w14:val="tx1"/>
            </w14:solidFill>
          </w14:textFill>
        </w:rPr>
      </w:pPr>
      <w:r>
        <w:rPr>
          <w:rFonts w:hint="eastAsia"/>
          <w:color w:val="000000" w:themeColor="text1"/>
          <w14:textFill>
            <w14:solidFill>
              <w14:schemeClr w14:val="tx1"/>
            </w14:solidFill>
          </w14:textFill>
        </w:rPr>
        <w:t>入驻商户服务</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建立组织体系</w:t>
      </w:r>
    </w:p>
    <w:p>
      <w:pPr>
        <w:pStyle w:val="47"/>
        <w:numPr>
          <w:ilvl w:val="2"/>
          <w:numId w:val="0"/>
        </w:num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6.1.1应建立涵盖客服、物业等部门，以及入驻各业态主力店管理人员等组成的疫情防控组织体系；6.1.2 组织体系建立后，应明确各方分工和责任，确定组织体系运营流程和要求；                                     6.1.3 应建立工作例会制度，通报相关情况，协调解决出现的问题和突发事件。</w:t>
      </w:r>
    </w:p>
    <w:p>
      <w:pPr>
        <w:pStyle w:val="24"/>
        <w:rPr>
          <w:color w:val="000000" w:themeColor="text1"/>
          <w14:textFill>
            <w14:solidFill>
              <w14:schemeClr w14:val="tx1"/>
            </w14:solidFill>
          </w14:textFill>
        </w:rPr>
      </w:pP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建立沟通机制</w:t>
      </w:r>
    </w:p>
    <w:p>
      <w:pPr>
        <w:pStyle w:val="47"/>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6.2.1应建立与入驻商户定期沟通机制，尤其是主力店、品牌连锁店等；</w:t>
      </w:r>
    </w:p>
    <w:p>
      <w:pPr>
        <w:pStyle w:val="47"/>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6.2.2 应建立入驻商户信息库，实施动态更新和管理；</w:t>
      </w:r>
    </w:p>
    <w:p>
      <w:pPr>
        <w:pStyle w:val="47"/>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6.2.3 宜与入驻商户进行沟通，根据各自实际需求，共同开展无接触服务；</w:t>
      </w:r>
    </w:p>
    <w:p>
      <w:pPr>
        <w:pStyle w:val="47"/>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6.2.4  疫情防控期间，宜将购物中心，包括入驻商户防控举措纳入政府统一系统中，比如健康码等；</w:t>
      </w:r>
    </w:p>
    <w:p>
      <w:pPr>
        <w:pStyle w:val="47"/>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6.2.5 应根据购物中心不同业态或区域分别制定沟通标准和流程，采取不同的服务、管理和监督方式；</w:t>
      </w:r>
    </w:p>
    <w:p>
      <w:pPr>
        <w:pStyle w:val="47"/>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6.2.6  宜与入驻商户建立联控联管机制，共同对防疫工作进行检查监督；</w:t>
      </w:r>
    </w:p>
    <w:p>
      <w:pPr>
        <w:pStyle w:val="47"/>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6.2.7 通过书面、微信、广播等形式加强对商户及售货员疫情防控相关知识，以及政府的有关要求的培训和指导；</w:t>
      </w:r>
    </w:p>
    <w:p>
      <w:pPr>
        <w:pStyle w:val="47"/>
        <w:numPr>
          <w:ilvl w:val="0"/>
          <w:numId w:val="0"/>
        </w:numPr>
        <w:spacing w:before="0" w:beforeLines="0" w:after="0" w:afterLines="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6.2.8 应对全部商户做好应急事件培训，并在每个楼层选取临近疏散通道的商户作为紧急情况楼层引导员，紧急情况下快速有效疏散顾客；</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6.2.9 各入驻商户门前应粘贴当日上岗人员信息，并登记当天温度测量。</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信息共享</w:t>
      </w:r>
    </w:p>
    <w:p>
      <w:pPr>
        <w:pStyle w:val="24"/>
        <w:ind w:firstLine="0" w:firstLineChars="0"/>
        <w:rPr>
          <w:rFonts w:hAnsi="宋体" w:cs="宋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6.3.1 </w:t>
      </w:r>
      <w:r>
        <w:rPr>
          <w:rFonts w:hint="eastAsia" w:hAnsi="宋体" w:cs="宋体"/>
          <w:color w:val="000000" w:themeColor="text1"/>
          <w14:textFill>
            <w14:solidFill>
              <w14:schemeClr w14:val="tx1"/>
            </w14:solidFill>
          </w14:textFill>
        </w:rPr>
        <w:t>应将购物中心提供无接触服务信息通报入驻商户，并收集入驻商户的相关信息，协调开展无接触服务；</w:t>
      </w:r>
    </w:p>
    <w:p>
      <w:pPr>
        <w:pStyle w:val="24"/>
        <w:ind w:firstLine="0" w:firstLineChars="0"/>
        <w:rPr>
          <w:rFonts w:hAnsi="宋体" w:cs="宋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6.3.2 </w:t>
      </w:r>
      <w:r>
        <w:rPr>
          <w:rFonts w:hint="eastAsia"/>
          <w:color w:val="000000" w:themeColor="text1"/>
          <w14:textFill>
            <w14:solidFill>
              <w14:schemeClr w14:val="tx1"/>
            </w14:solidFill>
          </w14:textFill>
        </w:rPr>
        <w:t>本规范应与购物中心各业态、各连锁品牌防控标准和流程相匹配，做到信息共享；</w:t>
      </w:r>
    </w:p>
    <w:p>
      <w:pPr>
        <w:pStyle w:val="24"/>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6.3.3 </w:t>
      </w:r>
      <w:r>
        <w:rPr>
          <w:rFonts w:hint="eastAsia"/>
          <w:color w:val="000000" w:themeColor="text1"/>
          <w14:textFill>
            <w14:solidFill>
              <w14:schemeClr w14:val="tx1"/>
            </w14:solidFill>
          </w14:textFill>
        </w:rPr>
        <w:t>应将主力店、品牌连锁店等的信息统筹考虑，共同制定互认的信息共享系统；</w:t>
      </w:r>
    </w:p>
    <w:p>
      <w:pPr>
        <w:pStyle w:val="24"/>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6.3.4 </w:t>
      </w:r>
      <w:r>
        <w:rPr>
          <w:rFonts w:hint="eastAsia"/>
          <w:color w:val="000000" w:themeColor="text1"/>
          <w14:textFill>
            <w14:solidFill>
              <w14:schemeClr w14:val="tx1"/>
            </w14:solidFill>
          </w14:textFill>
        </w:rPr>
        <w:t>宜充分利用政府提供的相关信息平台，做到信息共享，比如健康码的互认等。</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搭建线上平台</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6.4.1 宜建立新媒体营销部，与入驻商户共同做好线上营销活动；</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6.4.2 充分利用网络等先进技术，加强与入驻商户沟通，优化费用收取流程，减少及避免现场收取相关费用；</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6.3.3 各相关方应共同制定相关服务内容和流程，并不断完善；</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6.4.4 配合政府有关职能部门有关政策的出台，统一办理相关手续，减少重复或交叉环节。</w:t>
      </w:r>
    </w:p>
    <w:p>
      <w:pPr>
        <w:pStyle w:val="46"/>
        <w:spacing w:before="312" w:after="312"/>
        <w:rPr>
          <w:color w:val="000000" w:themeColor="text1"/>
          <w14:textFill>
            <w14:solidFill>
              <w14:schemeClr w14:val="tx1"/>
            </w14:solidFill>
          </w14:textFill>
        </w:rPr>
      </w:pPr>
      <w:r>
        <w:rPr>
          <w:rFonts w:hint="eastAsia"/>
          <w:color w:val="000000" w:themeColor="text1"/>
          <w14:textFill>
            <w14:solidFill>
              <w14:schemeClr w14:val="tx1"/>
            </w14:solidFill>
          </w14:textFill>
        </w:rPr>
        <w:t>服务质量管控</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基本要求</w:t>
      </w:r>
    </w:p>
    <w:p>
      <w:pPr>
        <w:pStyle w:val="47"/>
        <w:numPr>
          <w:ilvl w:val="2"/>
          <w:numId w:val="0"/>
        </w:numPr>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7.1.1 应根据疫情防控要求，制订相关的服务标准、作业流程、安全防疫和检查手段，对相关人员进行必要的培训，并及时告知入驻商户；                                                            7.1.2 应制定服务质量管控制度，并严格执行；                                                          7.1.3 树立品牌观念，强化服务意识；                                                     7.1.4 应加强员工文明用语、仪容仪表、职业技能、防疫知识和技能的培训。</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检查监督</w:t>
      </w:r>
    </w:p>
    <w:p>
      <w:pPr>
        <w:pStyle w:val="24"/>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7.2.1 </w:t>
      </w:r>
      <w:r>
        <w:rPr>
          <w:rFonts w:hint="eastAsia"/>
          <w:color w:val="000000" w:themeColor="text1"/>
          <w14:textFill>
            <w14:solidFill>
              <w14:schemeClr w14:val="tx1"/>
            </w14:solidFill>
          </w14:textFill>
        </w:rPr>
        <w:t>应制定完整的监督检查制度，并持续改进；</w:t>
      </w:r>
    </w:p>
    <w:p>
      <w:pPr>
        <w:pStyle w:val="24"/>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7.2.2 </w:t>
      </w:r>
      <w:r>
        <w:rPr>
          <w:rFonts w:hint="eastAsia"/>
          <w:color w:val="000000" w:themeColor="text1"/>
          <w14:textFill>
            <w14:solidFill>
              <w14:schemeClr w14:val="tx1"/>
            </w14:solidFill>
          </w14:textFill>
        </w:rPr>
        <w:t>遇到突发公共卫生事件，根据应急响应等级，调整检查内容和频次；</w:t>
      </w:r>
    </w:p>
    <w:p>
      <w:pPr>
        <w:pStyle w:val="24"/>
        <w:ind w:left="2940" w:hanging="2940" w:hangingChars="140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7.2.3 </w:t>
      </w:r>
      <w:r>
        <w:rPr>
          <w:rFonts w:hint="eastAsia"/>
          <w:color w:val="000000" w:themeColor="text1"/>
          <w14:textFill>
            <w14:solidFill>
              <w14:schemeClr w14:val="tx1"/>
            </w14:solidFill>
          </w14:textFill>
        </w:rPr>
        <w:t xml:space="preserve">做好检查记录，并根据检查结果，提出整改意见，要求相关部门或人员进行及时改正；       </w:t>
      </w:r>
    </w:p>
    <w:p>
      <w:pPr>
        <w:pStyle w:val="24"/>
        <w:ind w:left="2940" w:hanging="2940" w:hangingChars="140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7.2.4</w:t>
      </w:r>
      <w:r>
        <w:rPr>
          <w:rFonts w:hint="eastAsia"/>
          <w:color w:val="000000" w:themeColor="text1"/>
          <w14:textFill>
            <w14:solidFill>
              <w14:schemeClr w14:val="tx1"/>
            </w14:solidFill>
          </w14:textFill>
        </w:rPr>
        <w:t xml:space="preserve"> 应对整改情况进行重点检查监督；</w:t>
      </w:r>
    </w:p>
    <w:p>
      <w:pPr>
        <w:pStyle w:val="24"/>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7.2.5</w:t>
      </w:r>
      <w:r>
        <w:rPr>
          <w:rFonts w:hint="eastAsia"/>
          <w:color w:val="000000" w:themeColor="text1"/>
          <w14:textFill>
            <w14:solidFill>
              <w14:schemeClr w14:val="tx1"/>
            </w14:solidFill>
          </w14:textFill>
        </w:rPr>
        <w:t xml:space="preserve"> 如有必要，对服务标准和流程等进行修改完善。</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满意度调查</w:t>
      </w:r>
    </w:p>
    <w:p>
      <w:pPr>
        <w:pStyle w:val="24"/>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7.3.1 </w:t>
      </w:r>
      <w:r>
        <w:rPr>
          <w:rFonts w:hint="eastAsia"/>
          <w:color w:val="000000" w:themeColor="text1"/>
          <w14:textFill>
            <w14:solidFill>
              <w14:schemeClr w14:val="tx1"/>
            </w14:solidFill>
          </w14:textFill>
        </w:rPr>
        <w:t>应定期进行多形式的顾客满意度调查，做好统计和跟踪；</w:t>
      </w:r>
    </w:p>
    <w:p>
      <w:pPr>
        <w:pStyle w:val="24"/>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7.3.2 </w:t>
      </w:r>
      <w:r>
        <w:rPr>
          <w:rFonts w:hint="eastAsia"/>
          <w:color w:val="000000" w:themeColor="text1"/>
          <w14:textFill>
            <w14:solidFill>
              <w14:schemeClr w14:val="tx1"/>
            </w14:solidFill>
          </w14:textFill>
        </w:rPr>
        <w:t>根据顾客意见和建议反馈，制定持续改进措施。</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员工管理</w:t>
      </w:r>
    </w:p>
    <w:p>
      <w:pPr>
        <w:pStyle w:val="24"/>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7.4.1 </w:t>
      </w:r>
      <w:r>
        <w:rPr>
          <w:rFonts w:hint="eastAsia"/>
          <w:color w:val="000000" w:themeColor="text1"/>
          <w14:textFill>
            <w14:solidFill>
              <w14:schemeClr w14:val="tx1"/>
            </w14:solidFill>
          </w14:textFill>
        </w:rPr>
        <w:t>应加强疫情期间的员工管理，进行疫情防控政策和基础知识的培训，使员工能提供更安全、更专业的服务。</w:t>
      </w:r>
    </w:p>
    <w:p>
      <w:pPr>
        <w:pStyle w:val="24"/>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7.4.2</w:t>
      </w:r>
      <w:r>
        <w:rPr>
          <w:rFonts w:hint="eastAsia"/>
          <w:color w:val="000000" w:themeColor="text1"/>
          <w14:textFill>
            <w14:solidFill>
              <w14:schemeClr w14:val="tx1"/>
            </w14:solidFill>
          </w14:textFill>
        </w:rPr>
        <w:t xml:space="preserve"> 突发公共卫生事件期间，应采取书面、微信或口头沟通的方式加强与员工进行沟通，提醒员工注意个人卫生及防护，并进行必要的防护知识培训。</w:t>
      </w:r>
    </w:p>
    <w:p>
      <w:pPr>
        <w:pStyle w:val="24"/>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7.4.3 应加强对员工办公室、餐厅、宿舍、休息室等的管理，避免交叉感染；公司的各种会议宜采用视频方式进行；</w:t>
      </w:r>
    </w:p>
    <w:p>
      <w:pPr>
        <w:pStyle w:val="24"/>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7.4.4 每天应对员工进行体温检测，有条件的可以设置临时隔离房间。</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7.4.5 建立员工外出通报制度，非必要不派员工去外地出差，如果确实需要，应严格按照政府的规定进行必要的隔离；</w:t>
      </w:r>
    </w:p>
    <w:p>
      <w:pPr>
        <w:pStyle w:val="24"/>
        <w:ind w:firstLine="0" w:firstLineChars="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7.4.6 为员工配备必要的防护用品，要求员工在与顾客交流时不可摘下口罩，并与他人保持1米以上安全距离。在工作中避免用手或手套碰自己的眼睛。</w:t>
      </w:r>
    </w:p>
    <w:p>
      <w:pPr>
        <w:pStyle w:val="46"/>
        <w:spacing w:before="312" w:after="312"/>
        <w:rPr>
          <w:color w:val="000000" w:themeColor="text1"/>
          <w14:textFill>
            <w14:solidFill>
              <w14:schemeClr w14:val="tx1"/>
            </w14:solidFill>
          </w14:textFill>
        </w:rPr>
      </w:pPr>
      <w:r>
        <w:rPr>
          <w:rFonts w:hint="eastAsia"/>
          <w:color w:val="000000" w:themeColor="text1"/>
          <w14:textFill>
            <w14:solidFill>
              <w14:schemeClr w14:val="tx1"/>
            </w14:solidFill>
          </w14:textFill>
        </w:rPr>
        <w:t>异常情况处理</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应急预案及演练</w:t>
      </w:r>
    </w:p>
    <w:p>
      <w:pPr>
        <w:pStyle w:val="24"/>
        <w:ind w:firstLine="0" w:firstLineChars="0"/>
        <w:jc w:val="left"/>
        <w:rPr>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 xml:space="preserve">8.1.1应根据不同的异常情况分别制定异常处理应急预案，根据预案进行必要的演练，并对演练效果进行评估和修改完善；                                                                            8.1.2 </w:t>
      </w:r>
      <w:r>
        <w:rPr>
          <w:rFonts w:hint="eastAsia"/>
          <w:color w:val="000000" w:themeColor="text1"/>
          <w14:textFill>
            <w14:solidFill>
              <w14:schemeClr w14:val="tx1"/>
            </w14:solidFill>
          </w14:textFill>
        </w:rPr>
        <w:t>应对危险源进行识别，做好预防，对不同区域和场景进行危险等级评定；</w:t>
      </w:r>
    </w:p>
    <w:p>
      <w:pPr>
        <w:pStyle w:val="24"/>
        <w:ind w:firstLine="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8.1.3 应与异常情况处理所涉及到的第三方进行沟通，确认处理流程及各自责任；</w:t>
      </w:r>
    </w:p>
    <w:p>
      <w:pPr>
        <w:pStyle w:val="24"/>
        <w:ind w:firstLine="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8.1.4 疫情防控期间，应将防疫</w:t>
      </w:r>
      <w:r>
        <w:rPr>
          <w:color w:val="000000" w:themeColor="text1"/>
          <w14:textFill>
            <w14:solidFill>
              <w14:schemeClr w14:val="tx1"/>
            </w14:solidFill>
          </w14:textFill>
        </w:rPr>
        <w:t>程序</w:t>
      </w:r>
      <w:r>
        <w:rPr>
          <w:rFonts w:hint="eastAsia"/>
          <w:color w:val="000000" w:themeColor="text1"/>
          <w14:textFill>
            <w14:solidFill>
              <w14:schemeClr w14:val="tx1"/>
            </w14:solidFill>
          </w14:textFill>
        </w:rPr>
        <w:t>、处置结果</w:t>
      </w:r>
      <w:r>
        <w:rPr>
          <w:color w:val="000000" w:themeColor="text1"/>
          <w14:textFill>
            <w14:solidFill>
              <w14:schemeClr w14:val="tx1"/>
            </w14:solidFill>
          </w14:textFill>
        </w:rPr>
        <w:t>向</w:t>
      </w:r>
      <w:r>
        <w:rPr>
          <w:rFonts w:hint="eastAsia"/>
          <w:color w:val="000000" w:themeColor="text1"/>
          <w14:textFill>
            <w14:solidFill>
              <w14:schemeClr w14:val="tx1"/>
            </w14:solidFill>
          </w14:textFill>
        </w:rPr>
        <w:t>有关部门和人员</w:t>
      </w:r>
      <w:r>
        <w:rPr>
          <w:color w:val="000000" w:themeColor="text1"/>
          <w14:textFill>
            <w14:solidFill>
              <w14:schemeClr w14:val="tx1"/>
            </w14:solidFill>
          </w14:textFill>
        </w:rPr>
        <w:t>报告现场情况</w:t>
      </w:r>
      <w:r>
        <w:rPr>
          <w:rFonts w:hint="eastAsia"/>
          <w:color w:val="000000" w:themeColor="text1"/>
          <w14:textFill>
            <w14:solidFill>
              <w14:schemeClr w14:val="tx1"/>
            </w14:solidFill>
          </w14:textFill>
        </w:rPr>
        <w:t>。</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体温异常者</w:t>
      </w:r>
    </w:p>
    <w:p>
      <w:pPr>
        <w:pStyle w:val="24"/>
        <w:ind w:firstLine="0" w:firstLineChars="0"/>
        <w:jc w:val="left"/>
        <w:rPr>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8.2.1 购物中心各入口处应设置专人进行体温测试，或设立红外体温检测设备，做好测量体温和健康码查验工作。</w:t>
      </w:r>
      <w:r>
        <w:rPr>
          <w:rFonts w:hint="eastAsia"/>
          <w:color w:val="000000" w:themeColor="text1"/>
          <w14:textFill>
            <w14:solidFill>
              <w14:schemeClr w14:val="tx1"/>
            </w14:solidFill>
          </w14:textFill>
        </w:rPr>
        <w:t>为工作人员配备口罩、防护服、护目镜、一次性手套等相应的防护物品，确保工作人员的健康安全。                                                                                  8.2.2 应在各入口规划临时隔离区域或房间，并与其他设施保持一定的距离；</w:t>
      </w:r>
    </w:p>
    <w:p>
      <w:pPr>
        <w:pStyle w:val="24"/>
        <w:ind w:firstLine="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8.2.3 对体温异常者，应及时将其带到隔离区域或隔离房间，并做好安慰和询问；</w:t>
      </w:r>
    </w:p>
    <w:p>
      <w:pPr>
        <w:pStyle w:val="24"/>
        <w:ind w:firstLine="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8.2.4 根据询问情况，及时通知相关方，包括疫情防控机构、医院、社区、家人等；</w:t>
      </w:r>
    </w:p>
    <w:p>
      <w:pPr>
        <w:pStyle w:val="24"/>
        <w:ind w:firstLine="0" w:firstLineChars="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8.2.5 处理完毕后，应对隔离区域或隔离房间进行全面消杀，并按照要求将有关情况进行上报。</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健康码及行程码</w:t>
      </w:r>
    </w:p>
    <w:p>
      <w:pPr>
        <w:pStyle w:val="24"/>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8.3.1 检查人员应掌握国家和地方有关规定，并按照相关规定严格进行现场检查；</w:t>
      </w:r>
    </w:p>
    <w:p>
      <w:pPr>
        <w:pStyle w:val="24"/>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8.3.2 发现健康码出现异常时，应主动引领至隔离区域或房间，根据规定，说明情况，做好登记，进行劝返；</w:t>
      </w:r>
    </w:p>
    <w:p>
      <w:pPr>
        <w:pStyle w:val="24"/>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8.3.3 发现行程码显示来自疫区或标注有*号时，应主动引领至隔离区域或房间，根据规定，说明情况，对来自疫区的做好登记，进行劝返，对标注有*号的，应说明购物中心相关要求，做好登记。</w:t>
      </w:r>
    </w:p>
    <w:p>
      <w:pPr>
        <w:pStyle w:val="43"/>
        <w:rPr>
          <w:color w:val="000000" w:themeColor="text1"/>
          <w14:textFill>
            <w14:solidFill>
              <w14:schemeClr w14:val="tx1"/>
            </w14:solidFill>
          </w14:textFill>
        </w:rPr>
      </w:pPr>
      <w:r>
        <w:rPr>
          <w:rFonts w:hint="eastAsia"/>
          <w:color w:val="000000" w:themeColor="text1"/>
          <w14:textFill>
            <w14:solidFill>
              <w14:schemeClr w14:val="tx1"/>
            </w14:solidFill>
          </w14:textFill>
        </w:rPr>
        <w:t>食材</w:t>
      </w:r>
    </w:p>
    <w:p>
      <w:pPr>
        <w:pStyle w:val="24"/>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8.4.1 应根据防疫要求，与餐饮入驻企业共同建立食材可追溯机制，并做好留样；</w:t>
      </w:r>
    </w:p>
    <w:p>
      <w:pPr>
        <w:pStyle w:val="24"/>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8.4.2 应严格控制来自疫区或政府规定地区的食材进入购物中心；</w:t>
      </w:r>
    </w:p>
    <w:p>
      <w:pPr>
        <w:pStyle w:val="24"/>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8.4.3 应从指定的货梯将食材送入购物中心，严禁使用客梯运送食材；</w:t>
      </w:r>
    </w:p>
    <w:p>
      <w:pPr>
        <w:pStyle w:val="24"/>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8.4.4 发现来自疫区或政府规定的地区食材，或出现受污染食材，应及时进行封存，并通知疫区防控部门，并协作做好后续处置工作。</w:t>
      </w:r>
    </w:p>
    <w:p>
      <w:pPr>
        <w:pStyle w:val="46"/>
        <w:spacing w:before="312" w:after="312"/>
        <w:rPr>
          <w:color w:val="000000" w:themeColor="text1"/>
          <w14:textFill>
            <w14:solidFill>
              <w14:schemeClr w14:val="tx1"/>
            </w14:solidFill>
          </w14:textFill>
        </w:rPr>
      </w:pPr>
      <w:r>
        <w:rPr>
          <w:rFonts w:hint="eastAsia"/>
          <w:color w:val="000000" w:themeColor="text1"/>
          <w14:textFill>
            <w14:solidFill>
              <w14:schemeClr w14:val="tx1"/>
            </w14:solidFill>
          </w14:textFill>
        </w:rPr>
        <w:t>持续改进</w:t>
      </w:r>
    </w:p>
    <w:p>
      <w:pPr>
        <w:pStyle w:val="126"/>
        <w:numPr>
          <w:ilvl w:val="0"/>
          <w:numId w:val="0"/>
        </w:numPr>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9.1 应建立持续改进评估及管理机制，不断改进各项管理制度和作业流程。</w:t>
      </w:r>
    </w:p>
    <w:p>
      <w:pPr>
        <w:pStyle w:val="126"/>
        <w:numPr>
          <w:ilvl w:val="0"/>
          <w:numId w:val="0"/>
        </w:numPr>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9.2 应建立顾客投诉和意见反馈渠道，规范投诉处理程序，健全跟踪回访。</w:t>
      </w:r>
    </w:p>
    <w:p>
      <w:pPr>
        <w:pStyle w:val="126"/>
        <w:numPr>
          <w:ilvl w:val="0"/>
          <w:numId w:val="0"/>
        </w:numPr>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9.3 根据实际情况，应从以下方面进行无接触服务的持续改进：</w:t>
      </w:r>
    </w:p>
    <w:p>
      <w:pPr>
        <w:pStyle w:val="6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修改作业指导书；</w:t>
      </w:r>
    </w:p>
    <w:p>
      <w:pPr>
        <w:pStyle w:val="6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提供培训；</w:t>
      </w:r>
    </w:p>
    <w:p>
      <w:pPr>
        <w:pStyle w:val="6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更有效合理地安排员工的服务岗位和服务内容；</w:t>
      </w:r>
    </w:p>
    <w:p>
      <w:pPr>
        <w:pStyle w:val="6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提升员工士气，减少病假和员工的流动；</w:t>
      </w:r>
    </w:p>
    <w:p>
      <w:pPr>
        <w:pStyle w:val="60"/>
        <w:rPr>
          <w:rFonts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通过采用先进的设施设备，提高服务质量和效率。</w:t>
      </w:r>
    </w:p>
    <w:p>
      <w:pPr>
        <w:pStyle w:val="24"/>
        <w:ind w:firstLine="0" w:firstLineChars="0"/>
        <w:rPr>
          <w:rFonts w:ascii="黑体" w:hAnsi="黑体" w:eastAsia="黑体" w:cs="黑体"/>
          <w:color w:val="000000" w:themeColor="text1"/>
          <w14:textFill>
            <w14:solidFill>
              <w14:schemeClr w14:val="tx1"/>
            </w14:solidFill>
          </w14:textFill>
        </w:rPr>
      </w:pPr>
    </w:p>
    <w:p>
      <w:pPr>
        <w:pStyle w:val="24"/>
        <w:spacing w:line="360" w:lineRule="auto"/>
        <w:ind w:firstLine="0" w:firstLineChars="0"/>
        <w:jc w:val="left"/>
        <w:rPr>
          <w:color w:val="000000" w:themeColor="text1"/>
          <w14:textFill>
            <w14:solidFill>
              <w14:schemeClr w14:val="tx1"/>
            </w14:solidFill>
          </w14:textFill>
        </w:rPr>
      </w:pPr>
    </w:p>
    <w:p>
      <w:pPr>
        <w:pStyle w:val="72"/>
        <w:rPr>
          <w:rFonts w:hAnsi="黑体"/>
          <w:color w:val="000000" w:themeColor="text1"/>
          <w14:textFill>
            <w14:solidFill>
              <w14:schemeClr w14:val="tx1"/>
            </w14:solidFill>
          </w14:textFill>
        </w:rPr>
      </w:pPr>
      <w:bookmarkStart w:id="21" w:name="BKCKWX"/>
      <w:r>
        <w:rPr>
          <w:rFonts w:hint="eastAsia" w:hAnsi="黑体"/>
          <w:color w:val="000000" w:themeColor="text1"/>
          <w14:textFill>
            <w14:solidFill>
              <w14:schemeClr w14:val="tx1"/>
            </w14:solidFill>
          </w14:textFill>
        </w:rPr>
        <w:t>参</w:t>
      </w:r>
      <w:r>
        <w:rPr>
          <w:rFonts w:hAnsi="黑体" w:cs="Cambria Math"/>
          <w:color w:val="000000" w:themeColor="text1"/>
          <w14:textFill>
            <w14:solidFill>
              <w14:schemeClr w14:val="tx1"/>
            </w14:solidFill>
          </w14:textFill>
        </w:rPr>
        <w:t> </w:t>
      </w:r>
      <w:r>
        <w:rPr>
          <w:rFonts w:hint="eastAsia" w:hAnsi="黑体"/>
          <w:color w:val="000000" w:themeColor="text1"/>
          <w14:textFill>
            <w14:solidFill>
              <w14:schemeClr w14:val="tx1"/>
            </w14:solidFill>
          </w14:textFill>
        </w:rPr>
        <w:t>考</w:t>
      </w:r>
      <w:r>
        <w:rPr>
          <w:rFonts w:hAnsi="黑体" w:cs="Cambria Math"/>
          <w:color w:val="000000" w:themeColor="text1"/>
          <w14:textFill>
            <w14:solidFill>
              <w14:schemeClr w14:val="tx1"/>
            </w14:solidFill>
          </w14:textFill>
        </w:rPr>
        <w:t> </w:t>
      </w:r>
      <w:r>
        <w:rPr>
          <w:rFonts w:hint="eastAsia" w:hAnsi="黑体"/>
          <w:color w:val="000000" w:themeColor="text1"/>
          <w14:textFill>
            <w14:solidFill>
              <w14:schemeClr w14:val="tx1"/>
            </w14:solidFill>
          </w14:textFill>
        </w:rPr>
        <w:t>文</w:t>
      </w:r>
      <w:r>
        <w:rPr>
          <w:rFonts w:hAnsi="黑体" w:cs="Cambria Math"/>
          <w:color w:val="000000" w:themeColor="text1"/>
          <w14:textFill>
            <w14:solidFill>
              <w14:schemeClr w14:val="tx1"/>
            </w14:solidFill>
          </w14:textFill>
        </w:rPr>
        <w:t> </w:t>
      </w:r>
      <w:r>
        <w:rPr>
          <w:rFonts w:hint="eastAsia" w:hAnsi="黑体"/>
          <w:color w:val="000000" w:themeColor="text1"/>
          <w14:textFill>
            <w14:solidFill>
              <w14:schemeClr w14:val="tx1"/>
            </w14:solidFill>
          </w14:textFill>
        </w:rPr>
        <w:t>献</w:t>
      </w:r>
      <w:bookmarkEnd w:id="21"/>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[1] 国务院联防联控机制《公共场所新型冠状病毒感染的肺炎卫生防护指南》</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[2] 中华人民共和国国务院令第376号《突发公共卫生事件应急条例》</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[3]《中华人民共和国传染病防治法》</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《生产安全事故报告和调查处理条例》（2007年4月9日中华人民共和国国务院令第493号公布）</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《物业管理条例》（2003年6月8日中华人民共和国国务院令第379号公布　根据2007年8月26</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日《国务院关于修改〈物业管理条例〉的决定》修订）</w:t>
      </w:r>
    </w:p>
    <w:p>
      <w:pPr>
        <w:pStyle w:val="24"/>
        <w:rPr>
          <w:color w:val="000000" w:themeColor="text1"/>
          <w14:textFill>
            <w14:solidFill>
              <w14:schemeClr w14:val="tx1"/>
            </w14:solidFill>
          </w14:textFill>
        </w:rPr>
      </w:pPr>
    </w:p>
    <w:p>
      <w:pPr>
        <w:pStyle w:val="24"/>
        <w:rPr>
          <w:rFonts w:hAnsi="宋体"/>
          <w:color w:val="000000" w:themeColor="text1"/>
          <w14:textFill>
            <w14:solidFill>
              <w14:schemeClr w14:val="tx1"/>
            </w14:solidFill>
          </w14:textFill>
        </w:rPr>
      </w:pPr>
    </w:p>
    <w:p>
      <w:pPr>
        <w:pStyle w:val="24"/>
        <w:rPr>
          <w:rFonts w:hAnsi="宋体"/>
          <w:color w:val="000000" w:themeColor="text1"/>
          <w14:textFill>
            <w14:solidFill>
              <w14:schemeClr w14:val="tx1"/>
            </w14:solidFill>
          </w14:textFill>
        </w:rPr>
      </w:pPr>
    </w:p>
    <w:p>
      <w:pPr>
        <w:pStyle w:val="24"/>
        <w:ind w:firstLine="0" w:firstLineChars="0"/>
        <w:rPr>
          <w:color w:val="000000" w:themeColor="text1"/>
          <w14:textFill>
            <w14:solidFill>
              <w14:schemeClr w14:val="tx1"/>
            </w14:solidFill>
          </w14:textFill>
        </w:rPr>
      </w:pPr>
    </w:p>
    <w:p>
      <w:pPr>
        <w:pStyle w:val="24"/>
        <w:ind w:firstLine="0" w:firstLineChars="0"/>
        <w:rPr>
          <w:color w:val="000000" w:themeColor="text1"/>
          <w14:textFill>
            <w14:solidFill>
              <w14:schemeClr w14:val="tx1"/>
            </w14:solidFill>
          </w14:textFill>
        </w:rPr>
      </w:pPr>
      <w:r>
        <w:rPr>
          <w:color w:val="000000" w:themeColor="text1"/>
          <w:sz w:val="20"/>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1885950</wp:posOffset>
                </wp:positionH>
                <wp:positionV relativeFrom="paragraph">
                  <wp:posOffset>29845</wp:posOffset>
                </wp:positionV>
                <wp:extent cx="206692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206692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48.5pt;margin-top:2.35pt;height:0pt;width:162.75pt;z-index:251665408;mso-width-relative:page;mso-height-relative:page;" filled="f" stroked="t" coordsize="21600,21600" o:gfxdata="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uAaaB&#10;1QAAAAcBAAAPAAAAAAAAAAEAIAAAACIAAABkcnMvZG93bnJldi54bWxQSwECFAAUAAAACACHTuJA&#10;zGW30esBAADYAwAADgAAAAAAAAABACAAAAAkAQAAZHJzL2Uyb0RvYy54bWxQSwUGAAAAAAYABgBZ&#10;AQAAgQUAAAAA&#10;">
                <v:fill on="f" focussize="0,0"/>
                <v:stroke color="#000000" joinstyle="round"/>
                <v:imagedata o:title=""/>
                <o:lock v:ext="edit" aspectratio="f"/>
              </v:line>
            </w:pict>
          </mc:Fallback>
        </mc:AlternateContent>
      </w:r>
    </w:p>
    <w:sectPr>
      <w:pgSz w:w="11906" w:h="16838"/>
      <w:pgMar w:top="567" w:right="1134" w:bottom="1134" w:left="1418" w:header="1418" w:footer="1134" w:gutter="0"/>
      <w:pgNumType w:start="1"/>
      <w:cols w:space="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TimesNewRomanPSMT">
    <w:altName w:val="Times New Roman"/>
    <w:panose1 w:val="00000000000000000000"/>
    <w:charset w:val="00"/>
    <w:family w:val="auto"/>
    <w:pitch w:val="default"/>
    <w:sig w:usb0="00000000" w:usb1="00000000" w:usb2="00000000" w:usb3="00000000" w:csb0="00040001"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8"/>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jc w:val="both"/>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8"/>
                      <w:jc w:val="both"/>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8450279"/>
      <w:docPartObj>
        <w:docPartGallery w:val="autotext"/>
      </w:docPartObj>
    </w:sdtPr>
    <w:sdtContent>
      <w:p>
        <w:pPr>
          <w:pStyle w:val="18"/>
        </w:pPr>
        <w:r>
          <w:fldChar w:fldCharType="begin"/>
        </w:r>
        <w:r>
          <w:instrText xml:space="preserve">PAGE   \* MERGEFORMAT</w:instrText>
        </w:r>
        <w:r>
          <w:fldChar w:fldCharType="separate"/>
        </w:r>
        <w:r>
          <w:rPr>
            <w:lang w:val="zh-CN"/>
          </w:rPr>
          <w:t>1</w:t>
        </w:r>
        <w:r>
          <w:fldChar w:fldCharType="end"/>
        </w:r>
      </w:p>
    </w:sdtContent>
  </w:sdt>
  <w:p>
    <w:pPr>
      <w:pStyle w:val="44"/>
      <w:tabs>
        <w:tab w:val="center" w:pos="4677"/>
      </w:tabs>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59"/>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7"/>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3"/>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2"/>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60"/>
      <w:lvlText w:val="%1)"/>
      <w:lvlJc w:val="left"/>
      <w:pPr>
        <w:tabs>
          <w:tab w:val="left" w:pos="840"/>
        </w:tabs>
        <w:ind w:left="839" w:hanging="419"/>
      </w:pPr>
      <w:rPr>
        <w:rFonts w:hint="eastAsia"/>
        <w:b w:val="0"/>
        <w:i w:val="0"/>
        <w:sz w:val="21"/>
        <w:szCs w:val="21"/>
      </w:rPr>
    </w:lvl>
    <w:lvl w:ilvl="1" w:tentative="0">
      <w:start w:val="1"/>
      <w:numFmt w:val="decimal"/>
      <w:pStyle w:val="55"/>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22827D5B"/>
    <w:multiLevelType w:val="multilevel"/>
    <w:tmpl w:val="22827D5B"/>
    <w:lvl w:ilvl="0" w:tentative="0">
      <w:start w:val="1"/>
      <w:numFmt w:val="none"/>
      <w:pStyle w:val="65"/>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7">
    <w:nsid w:val="2A8F7113"/>
    <w:multiLevelType w:val="multilevel"/>
    <w:tmpl w:val="2A8F7113"/>
    <w:lvl w:ilvl="0" w:tentative="0">
      <w:start w:val="1"/>
      <w:numFmt w:val="upperLetter"/>
      <w:pStyle w:val="99"/>
      <w:suff w:val="space"/>
      <w:lvlText w:val="%1"/>
      <w:lvlJc w:val="left"/>
      <w:pPr>
        <w:ind w:left="623" w:hanging="425"/>
      </w:pPr>
      <w:rPr>
        <w:rFonts w:hint="eastAsia"/>
      </w:rPr>
    </w:lvl>
    <w:lvl w:ilvl="1" w:tentative="0">
      <w:start w:val="1"/>
      <w:numFmt w:val="decimal"/>
      <w:pStyle w:val="100"/>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49"/>
      <w:suff w:val="nothing"/>
      <w:lvlText w:val="%1——"/>
      <w:lvlJc w:val="left"/>
      <w:pPr>
        <w:ind w:left="833" w:hanging="408"/>
      </w:pPr>
      <w:rPr>
        <w:rFonts w:hint="eastAsia"/>
      </w:rPr>
    </w:lvl>
    <w:lvl w:ilvl="1" w:tentative="0">
      <w:start w:val="1"/>
      <w:numFmt w:val="bullet"/>
      <w:pStyle w:val="50"/>
      <w:lvlText w:val=""/>
      <w:lvlJc w:val="left"/>
      <w:pPr>
        <w:tabs>
          <w:tab w:val="left" w:pos="760"/>
        </w:tabs>
        <w:ind w:left="1264" w:hanging="413"/>
      </w:pPr>
      <w:rPr>
        <w:rFonts w:hint="default" w:ascii="Symbol" w:hAnsi="Symbol"/>
        <w:color w:val="auto"/>
      </w:rPr>
    </w:lvl>
    <w:lvl w:ilvl="2" w:tentative="0">
      <w:start w:val="1"/>
      <w:numFmt w:val="bullet"/>
      <w:pStyle w:val="61"/>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A93320E"/>
    <w:multiLevelType w:val="multilevel"/>
    <w:tmpl w:val="4A93320E"/>
    <w:lvl w:ilvl="0" w:tentative="0">
      <w:start w:val="1"/>
      <w:numFmt w:val="decimal"/>
      <w:pStyle w:val="46"/>
      <w:suff w:val="space"/>
      <w:lvlText w:val="%1 "/>
      <w:lvlJc w:val="left"/>
      <w:pPr>
        <w:ind w:left="0" w:firstLine="0"/>
      </w:pPr>
      <w:rPr>
        <w:rFonts w:hint="eastAsia" w:eastAsia="黑体"/>
        <w:sz w:val="21"/>
      </w:rPr>
    </w:lvl>
    <w:lvl w:ilvl="1" w:tentative="0">
      <w:start w:val="1"/>
      <w:numFmt w:val="decimal"/>
      <w:pStyle w:val="43"/>
      <w:suff w:val="space"/>
      <w:lvlText w:val="%1.%2 "/>
      <w:lvlJc w:val="left"/>
      <w:pPr>
        <w:ind w:left="0" w:firstLine="0"/>
      </w:pPr>
      <w:rPr>
        <w:rFonts w:hint="eastAsia"/>
      </w:rPr>
    </w:lvl>
    <w:lvl w:ilvl="2" w:tentative="0">
      <w:start w:val="1"/>
      <w:numFmt w:val="decimal"/>
      <w:pStyle w:val="47"/>
      <w:suff w:val="space"/>
      <w:lvlText w:val="%1.%2.%3 "/>
      <w:lvlJc w:val="left"/>
      <w:pPr>
        <w:ind w:left="630" w:firstLine="0"/>
      </w:pPr>
      <w:rPr>
        <w:rFonts w:hint="default"/>
        <w:b/>
        <w:bCs/>
      </w:rPr>
    </w:lvl>
    <w:lvl w:ilvl="3" w:tentative="0">
      <w:start w:val="1"/>
      <w:numFmt w:val="decimal"/>
      <w:pStyle w:val="52"/>
      <w:suff w:val="space"/>
      <w:lvlText w:val="%1.%2.%3.%4 "/>
      <w:lvlJc w:val="left"/>
      <w:pPr>
        <w:ind w:left="0" w:firstLine="0"/>
      </w:pPr>
      <w:rPr>
        <w:rFonts w:hint="eastAsia"/>
      </w:rPr>
    </w:lvl>
    <w:lvl w:ilvl="4" w:tentative="0">
      <w:start w:val="1"/>
      <w:numFmt w:val="decimal"/>
      <w:pStyle w:val="56"/>
      <w:suff w:val="space"/>
      <w:lvlText w:val="%1.%2.%3.%4.%5 "/>
      <w:lvlJc w:val="left"/>
      <w:pPr>
        <w:ind w:left="0" w:firstLine="0"/>
      </w:pPr>
      <w:rPr>
        <w:rFonts w:hint="eastAsia"/>
      </w:rPr>
    </w:lvl>
    <w:lvl w:ilvl="5" w:tentative="0">
      <w:start w:val="1"/>
      <w:numFmt w:val="decimal"/>
      <w:pStyle w:val="57"/>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1">
    <w:nsid w:val="4B733A5F"/>
    <w:multiLevelType w:val="multilevel"/>
    <w:tmpl w:val="4B733A5F"/>
    <w:lvl w:ilvl="0" w:tentative="0">
      <w:start w:val="1"/>
      <w:numFmt w:val="decimal"/>
      <w:pStyle w:val="63"/>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87"/>
      <w:lvlText w:val="%1"/>
      <w:lvlJc w:val="left"/>
      <w:pPr>
        <w:tabs>
          <w:tab w:val="left" w:pos="0"/>
        </w:tabs>
        <w:ind w:left="0" w:hanging="425"/>
      </w:pPr>
      <w:rPr>
        <w:rFonts w:hint="eastAsia"/>
      </w:rPr>
    </w:lvl>
    <w:lvl w:ilvl="1" w:tentative="0">
      <w:start w:val="1"/>
      <w:numFmt w:val="decimal"/>
      <w:pStyle w:val="8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85"/>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3"/>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4"/>
      <w:suff w:val="nothing"/>
      <w:lvlText w:val="%1.%2.%3　"/>
      <w:lvlJc w:val="left"/>
      <w:pPr>
        <w:ind w:left="993" w:firstLine="0"/>
      </w:pPr>
      <w:rPr>
        <w:rFonts w:hint="eastAsia" w:ascii="黑体" w:hAnsi="Times New Roman" w:eastAsia="黑体"/>
        <w:b w:val="0"/>
        <w:i w:val="0"/>
        <w:sz w:val="21"/>
      </w:rPr>
    </w:lvl>
    <w:lvl w:ilvl="3" w:tentative="0">
      <w:start w:val="1"/>
      <w:numFmt w:val="decimal"/>
      <w:pStyle w:val="89"/>
      <w:suff w:val="nothing"/>
      <w:lvlText w:val="%1.%2.%3.%4　"/>
      <w:lvlJc w:val="left"/>
      <w:pPr>
        <w:ind w:left="0" w:firstLine="0"/>
      </w:pPr>
      <w:rPr>
        <w:rFonts w:hint="eastAsia" w:ascii="黑体" w:hAnsi="Times New Roman" w:eastAsia="黑体"/>
        <w:b w:val="0"/>
        <w:i w:val="0"/>
        <w:sz w:val="21"/>
      </w:rPr>
    </w:lvl>
    <w:lvl w:ilvl="4" w:tentative="0">
      <w:start w:val="1"/>
      <w:numFmt w:val="decimal"/>
      <w:pStyle w:val="94"/>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101"/>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A6D3780"/>
    <w:multiLevelType w:val="multilevel"/>
    <w:tmpl w:val="6A6D3780"/>
    <w:lvl w:ilvl="0" w:tentative="0">
      <w:start w:val="1"/>
      <w:numFmt w:val="decimal"/>
      <w:pStyle w:val="66"/>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6">
    <w:nsid w:val="6D6C07CD"/>
    <w:multiLevelType w:val="multilevel"/>
    <w:tmpl w:val="6D6C07CD"/>
    <w:lvl w:ilvl="0" w:tentative="0">
      <w:start w:val="1"/>
      <w:numFmt w:val="lowerLetter"/>
      <w:pStyle w:val="106"/>
      <w:lvlText w:val="%1)"/>
      <w:lvlJc w:val="left"/>
      <w:pPr>
        <w:tabs>
          <w:tab w:val="left" w:pos="839"/>
        </w:tabs>
        <w:ind w:left="839" w:hanging="419"/>
      </w:pPr>
      <w:rPr>
        <w:rFonts w:hint="eastAsia" w:ascii="宋体" w:eastAsia="宋体"/>
        <w:b w:val="0"/>
        <w:i w:val="0"/>
        <w:sz w:val="21"/>
      </w:rPr>
    </w:lvl>
    <w:lvl w:ilvl="1" w:tentative="0">
      <w:start w:val="1"/>
      <w:numFmt w:val="decimal"/>
      <w:pStyle w:val="96"/>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8"/>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10"/>
  </w:num>
  <w:num w:numId="3">
    <w:abstractNumId w:val="8"/>
  </w:num>
  <w:num w:numId="4">
    <w:abstractNumId w:val="2"/>
  </w:num>
  <w:num w:numId="5">
    <w:abstractNumId w:val="5"/>
  </w:num>
  <w:num w:numId="6">
    <w:abstractNumId w:val="17"/>
  </w:num>
  <w:num w:numId="7">
    <w:abstractNumId w:val="0"/>
  </w:num>
  <w:num w:numId="8">
    <w:abstractNumId w:val="11"/>
  </w:num>
  <w:num w:numId="9">
    <w:abstractNumId w:val="6"/>
  </w:num>
  <w:num w:numId="10">
    <w:abstractNumId w:val="15"/>
  </w:num>
  <w:num w:numId="11">
    <w:abstractNumId w:val="14"/>
  </w:num>
  <w:num w:numId="12">
    <w:abstractNumId w:val="12"/>
  </w:num>
  <w:num w:numId="13">
    <w:abstractNumId w:val="16"/>
  </w:num>
  <w:num w:numId="14">
    <w:abstractNumId w:val="7"/>
  </w:num>
  <w:num w:numId="15">
    <w:abstractNumId w:val="1"/>
  </w:num>
  <w:num w:numId="16">
    <w:abstractNumId w:val="4"/>
  </w:num>
  <w:num w:numId="17">
    <w:abstractNumId w:val="13"/>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NmFiMTljMTQ1MjI2NzRiNjFiOGZjYTlhZjRkZWYifQ=="/>
  </w:docVars>
  <w:rsids>
    <w:rsidRoot w:val="004B2E67"/>
    <w:rsid w:val="00000244"/>
    <w:rsid w:val="0000185F"/>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78B"/>
    <w:rsid w:val="00035925"/>
    <w:rsid w:val="000378F3"/>
    <w:rsid w:val="0004077A"/>
    <w:rsid w:val="000432E5"/>
    <w:rsid w:val="0004495B"/>
    <w:rsid w:val="000456E4"/>
    <w:rsid w:val="00050549"/>
    <w:rsid w:val="00053025"/>
    <w:rsid w:val="00055016"/>
    <w:rsid w:val="0005676A"/>
    <w:rsid w:val="00056891"/>
    <w:rsid w:val="00060186"/>
    <w:rsid w:val="00061BD7"/>
    <w:rsid w:val="000651BA"/>
    <w:rsid w:val="00066E9E"/>
    <w:rsid w:val="00067CDF"/>
    <w:rsid w:val="00070887"/>
    <w:rsid w:val="00074FBE"/>
    <w:rsid w:val="00081D80"/>
    <w:rsid w:val="00082A7E"/>
    <w:rsid w:val="00083640"/>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8B1"/>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129C"/>
    <w:rsid w:val="000F58B9"/>
    <w:rsid w:val="00100680"/>
    <w:rsid w:val="00104F16"/>
    <w:rsid w:val="001056DE"/>
    <w:rsid w:val="001124C0"/>
    <w:rsid w:val="001230FD"/>
    <w:rsid w:val="00125A8B"/>
    <w:rsid w:val="0013175F"/>
    <w:rsid w:val="0013332E"/>
    <w:rsid w:val="0013554D"/>
    <w:rsid w:val="00137A49"/>
    <w:rsid w:val="00140C93"/>
    <w:rsid w:val="00142131"/>
    <w:rsid w:val="0014319E"/>
    <w:rsid w:val="00147B89"/>
    <w:rsid w:val="001512B4"/>
    <w:rsid w:val="00151930"/>
    <w:rsid w:val="00152390"/>
    <w:rsid w:val="001559F2"/>
    <w:rsid w:val="001620A5"/>
    <w:rsid w:val="001629BC"/>
    <w:rsid w:val="00164E53"/>
    <w:rsid w:val="001665A8"/>
    <w:rsid w:val="001668AD"/>
    <w:rsid w:val="0016699D"/>
    <w:rsid w:val="00175159"/>
    <w:rsid w:val="00176208"/>
    <w:rsid w:val="00176AA8"/>
    <w:rsid w:val="0018211B"/>
    <w:rsid w:val="00183C89"/>
    <w:rsid w:val="001840D3"/>
    <w:rsid w:val="00185E08"/>
    <w:rsid w:val="00186C51"/>
    <w:rsid w:val="00187759"/>
    <w:rsid w:val="001900F8"/>
    <w:rsid w:val="00191258"/>
    <w:rsid w:val="00192680"/>
    <w:rsid w:val="00193037"/>
    <w:rsid w:val="00193A2C"/>
    <w:rsid w:val="00195A71"/>
    <w:rsid w:val="001A288E"/>
    <w:rsid w:val="001B0AA8"/>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23BE"/>
    <w:rsid w:val="001F3A19"/>
    <w:rsid w:val="002046D4"/>
    <w:rsid w:val="0020719B"/>
    <w:rsid w:val="00215F0E"/>
    <w:rsid w:val="00215F95"/>
    <w:rsid w:val="002245D5"/>
    <w:rsid w:val="00225C8E"/>
    <w:rsid w:val="00226814"/>
    <w:rsid w:val="00233507"/>
    <w:rsid w:val="00234467"/>
    <w:rsid w:val="002346F0"/>
    <w:rsid w:val="00237D8D"/>
    <w:rsid w:val="00241DA2"/>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73D"/>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6126"/>
    <w:rsid w:val="002C72D8"/>
    <w:rsid w:val="002D11FA"/>
    <w:rsid w:val="002D6055"/>
    <w:rsid w:val="002E0DDF"/>
    <w:rsid w:val="002E2906"/>
    <w:rsid w:val="002E363B"/>
    <w:rsid w:val="002E4928"/>
    <w:rsid w:val="002E50A6"/>
    <w:rsid w:val="002E5635"/>
    <w:rsid w:val="002E64C3"/>
    <w:rsid w:val="002E6A2C"/>
    <w:rsid w:val="002E6EBC"/>
    <w:rsid w:val="002F1D8C"/>
    <w:rsid w:val="002F21DA"/>
    <w:rsid w:val="002F3489"/>
    <w:rsid w:val="00301F39"/>
    <w:rsid w:val="00304C5F"/>
    <w:rsid w:val="00310A54"/>
    <w:rsid w:val="00315E5D"/>
    <w:rsid w:val="00325926"/>
    <w:rsid w:val="003277B3"/>
    <w:rsid w:val="00327A8A"/>
    <w:rsid w:val="00336610"/>
    <w:rsid w:val="00343F73"/>
    <w:rsid w:val="00344F93"/>
    <w:rsid w:val="00345060"/>
    <w:rsid w:val="00346FE0"/>
    <w:rsid w:val="00351B28"/>
    <w:rsid w:val="0035323B"/>
    <w:rsid w:val="0035378A"/>
    <w:rsid w:val="00356F97"/>
    <w:rsid w:val="003609D2"/>
    <w:rsid w:val="00363F22"/>
    <w:rsid w:val="003654C4"/>
    <w:rsid w:val="003674EB"/>
    <w:rsid w:val="00375564"/>
    <w:rsid w:val="00382EAB"/>
    <w:rsid w:val="00383191"/>
    <w:rsid w:val="00384347"/>
    <w:rsid w:val="00386DED"/>
    <w:rsid w:val="003912E7"/>
    <w:rsid w:val="0039273A"/>
    <w:rsid w:val="00393947"/>
    <w:rsid w:val="003A170B"/>
    <w:rsid w:val="003A1C6A"/>
    <w:rsid w:val="003A2275"/>
    <w:rsid w:val="003A2A45"/>
    <w:rsid w:val="003A6A4F"/>
    <w:rsid w:val="003A7088"/>
    <w:rsid w:val="003B00DF"/>
    <w:rsid w:val="003B114F"/>
    <w:rsid w:val="003B1275"/>
    <w:rsid w:val="003B1778"/>
    <w:rsid w:val="003B2EAC"/>
    <w:rsid w:val="003B6DF1"/>
    <w:rsid w:val="003C11CB"/>
    <w:rsid w:val="003C75F3"/>
    <w:rsid w:val="003C78A3"/>
    <w:rsid w:val="003E1867"/>
    <w:rsid w:val="003E5729"/>
    <w:rsid w:val="003E5EAE"/>
    <w:rsid w:val="003E6A28"/>
    <w:rsid w:val="003E7514"/>
    <w:rsid w:val="003F2AF5"/>
    <w:rsid w:val="003F3E91"/>
    <w:rsid w:val="003F4EE0"/>
    <w:rsid w:val="003F5AC7"/>
    <w:rsid w:val="003F7207"/>
    <w:rsid w:val="004009C8"/>
    <w:rsid w:val="00400E9E"/>
    <w:rsid w:val="00402153"/>
    <w:rsid w:val="00402FC1"/>
    <w:rsid w:val="004035C7"/>
    <w:rsid w:val="004046C4"/>
    <w:rsid w:val="004100FE"/>
    <w:rsid w:val="0041188B"/>
    <w:rsid w:val="00421E5E"/>
    <w:rsid w:val="00425082"/>
    <w:rsid w:val="00427D04"/>
    <w:rsid w:val="00431DEB"/>
    <w:rsid w:val="0043263E"/>
    <w:rsid w:val="00436B51"/>
    <w:rsid w:val="00446B29"/>
    <w:rsid w:val="00453F9A"/>
    <w:rsid w:val="00455CE5"/>
    <w:rsid w:val="00462CEC"/>
    <w:rsid w:val="00471E91"/>
    <w:rsid w:val="00474675"/>
    <w:rsid w:val="0047470C"/>
    <w:rsid w:val="00485BDC"/>
    <w:rsid w:val="00492D95"/>
    <w:rsid w:val="00493BC3"/>
    <w:rsid w:val="0049613A"/>
    <w:rsid w:val="004969B2"/>
    <w:rsid w:val="004A35F9"/>
    <w:rsid w:val="004A7F6F"/>
    <w:rsid w:val="004B15D8"/>
    <w:rsid w:val="004B24C1"/>
    <w:rsid w:val="004B2E67"/>
    <w:rsid w:val="004C292F"/>
    <w:rsid w:val="004C5C89"/>
    <w:rsid w:val="004C711D"/>
    <w:rsid w:val="004D4F0A"/>
    <w:rsid w:val="004D56B9"/>
    <w:rsid w:val="004E3212"/>
    <w:rsid w:val="004F49A3"/>
    <w:rsid w:val="004F49F6"/>
    <w:rsid w:val="005008F7"/>
    <w:rsid w:val="00501F7B"/>
    <w:rsid w:val="00510280"/>
    <w:rsid w:val="00512F3E"/>
    <w:rsid w:val="00513D73"/>
    <w:rsid w:val="00514A43"/>
    <w:rsid w:val="005160E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3C11"/>
    <w:rsid w:val="005B4FF9"/>
    <w:rsid w:val="005B5A19"/>
    <w:rsid w:val="005C1706"/>
    <w:rsid w:val="005C1C28"/>
    <w:rsid w:val="005C53B2"/>
    <w:rsid w:val="005C6DB5"/>
    <w:rsid w:val="005D39B7"/>
    <w:rsid w:val="005E19E7"/>
    <w:rsid w:val="005E232A"/>
    <w:rsid w:val="005E259F"/>
    <w:rsid w:val="005E59DE"/>
    <w:rsid w:val="005E60CE"/>
    <w:rsid w:val="005F0D35"/>
    <w:rsid w:val="005F3A96"/>
    <w:rsid w:val="005F7640"/>
    <w:rsid w:val="005F7E9E"/>
    <w:rsid w:val="0060413E"/>
    <w:rsid w:val="00604B74"/>
    <w:rsid w:val="00607EC9"/>
    <w:rsid w:val="006126C0"/>
    <w:rsid w:val="006128E9"/>
    <w:rsid w:val="006149F1"/>
    <w:rsid w:val="0061716C"/>
    <w:rsid w:val="006243A1"/>
    <w:rsid w:val="006278EC"/>
    <w:rsid w:val="0063162D"/>
    <w:rsid w:val="00631E62"/>
    <w:rsid w:val="00632E56"/>
    <w:rsid w:val="00635CBA"/>
    <w:rsid w:val="006407B5"/>
    <w:rsid w:val="0064338B"/>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87003"/>
    <w:rsid w:val="00692368"/>
    <w:rsid w:val="00692DB1"/>
    <w:rsid w:val="00693782"/>
    <w:rsid w:val="00693C38"/>
    <w:rsid w:val="006A0055"/>
    <w:rsid w:val="006A01CA"/>
    <w:rsid w:val="006A2EBC"/>
    <w:rsid w:val="006A5EA0"/>
    <w:rsid w:val="006A783B"/>
    <w:rsid w:val="006A7B33"/>
    <w:rsid w:val="006B204A"/>
    <w:rsid w:val="006B4E13"/>
    <w:rsid w:val="006B75DD"/>
    <w:rsid w:val="006C08B7"/>
    <w:rsid w:val="006C62D5"/>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701D24"/>
    <w:rsid w:val="00704DF6"/>
    <w:rsid w:val="0070651C"/>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0CA0"/>
    <w:rsid w:val="0075415C"/>
    <w:rsid w:val="007549D1"/>
    <w:rsid w:val="00756A6C"/>
    <w:rsid w:val="00762B7C"/>
    <w:rsid w:val="00763502"/>
    <w:rsid w:val="00766ABD"/>
    <w:rsid w:val="00774FCA"/>
    <w:rsid w:val="007823C1"/>
    <w:rsid w:val="007913AB"/>
    <w:rsid w:val="007914F7"/>
    <w:rsid w:val="007972CC"/>
    <w:rsid w:val="00797409"/>
    <w:rsid w:val="007A6D6B"/>
    <w:rsid w:val="007B1625"/>
    <w:rsid w:val="007B2949"/>
    <w:rsid w:val="007B5A52"/>
    <w:rsid w:val="007B65F0"/>
    <w:rsid w:val="007B6C5B"/>
    <w:rsid w:val="007B706E"/>
    <w:rsid w:val="007B71EB"/>
    <w:rsid w:val="007B7457"/>
    <w:rsid w:val="007C1A4D"/>
    <w:rsid w:val="007C6205"/>
    <w:rsid w:val="007C6359"/>
    <w:rsid w:val="007C686A"/>
    <w:rsid w:val="007C728E"/>
    <w:rsid w:val="007C7F3F"/>
    <w:rsid w:val="007D2C53"/>
    <w:rsid w:val="007D3D60"/>
    <w:rsid w:val="007D66C9"/>
    <w:rsid w:val="007E1980"/>
    <w:rsid w:val="007E1EEB"/>
    <w:rsid w:val="007E4B76"/>
    <w:rsid w:val="007E5EA8"/>
    <w:rsid w:val="007F052A"/>
    <w:rsid w:val="007F0CF1"/>
    <w:rsid w:val="007F12A5"/>
    <w:rsid w:val="007F1923"/>
    <w:rsid w:val="007F26FD"/>
    <w:rsid w:val="007F4CF1"/>
    <w:rsid w:val="007F758D"/>
    <w:rsid w:val="007F7D52"/>
    <w:rsid w:val="00801608"/>
    <w:rsid w:val="00802672"/>
    <w:rsid w:val="0080654C"/>
    <w:rsid w:val="00806796"/>
    <w:rsid w:val="008071C6"/>
    <w:rsid w:val="00813900"/>
    <w:rsid w:val="00814471"/>
    <w:rsid w:val="00815D7E"/>
    <w:rsid w:val="00817A00"/>
    <w:rsid w:val="0082108D"/>
    <w:rsid w:val="00821CAE"/>
    <w:rsid w:val="00825DC3"/>
    <w:rsid w:val="00831AA2"/>
    <w:rsid w:val="00835DB3"/>
    <w:rsid w:val="0083617B"/>
    <w:rsid w:val="008370D2"/>
    <w:rsid w:val="008371BD"/>
    <w:rsid w:val="0084297F"/>
    <w:rsid w:val="008446E3"/>
    <w:rsid w:val="008447FF"/>
    <w:rsid w:val="008504A8"/>
    <w:rsid w:val="0085202D"/>
    <w:rsid w:val="00852108"/>
    <w:rsid w:val="0085282E"/>
    <w:rsid w:val="008652BC"/>
    <w:rsid w:val="0087198C"/>
    <w:rsid w:val="00872C1F"/>
    <w:rsid w:val="008735C6"/>
    <w:rsid w:val="00873B42"/>
    <w:rsid w:val="00873F6C"/>
    <w:rsid w:val="008768B0"/>
    <w:rsid w:val="00885446"/>
    <w:rsid w:val="008856D8"/>
    <w:rsid w:val="0089069C"/>
    <w:rsid w:val="00892E82"/>
    <w:rsid w:val="00893D49"/>
    <w:rsid w:val="00896411"/>
    <w:rsid w:val="008A1536"/>
    <w:rsid w:val="008A236D"/>
    <w:rsid w:val="008A753A"/>
    <w:rsid w:val="008B276C"/>
    <w:rsid w:val="008C06EB"/>
    <w:rsid w:val="008C1B4A"/>
    <w:rsid w:val="008C1B58"/>
    <w:rsid w:val="008C39AE"/>
    <w:rsid w:val="008C590D"/>
    <w:rsid w:val="008C67C7"/>
    <w:rsid w:val="008D0215"/>
    <w:rsid w:val="008D2FAF"/>
    <w:rsid w:val="008D3E2C"/>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331C"/>
    <w:rsid w:val="00913C85"/>
    <w:rsid w:val="00915E33"/>
    <w:rsid w:val="009279DE"/>
    <w:rsid w:val="00930116"/>
    <w:rsid w:val="00930D34"/>
    <w:rsid w:val="00931314"/>
    <w:rsid w:val="00935495"/>
    <w:rsid w:val="0094212C"/>
    <w:rsid w:val="009438A2"/>
    <w:rsid w:val="0094647C"/>
    <w:rsid w:val="009468EF"/>
    <w:rsid w:val="009543BE"/>
    <w:rsid w:val="00954689"/>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90471"/>
    <w:rsid w:val="0099200F"/>
    <w:rsid w:val="009939DD"/>
    <w:rsid w:val="00994E8F"/>
    <w:rsid w:val="009951DC"/>
    <w:rsid w:val="009959BB"/>
    <w:rsid w:val="00997158"/>
    <w:rsid w:val="009A1324"/>
    <w:rsid w:val="009A2D72"/>
    <w:rsid w:val="009A3A7C"/>
    <w:rsid w:val="009A6F7F"/>
    <w:rsid w:val="009B2293"/>
    <w:rsid w:val="009B2ADB"/>
    <w:rsid w:val="009B603A"/>
    <w:rsid w:val="009C0DF3"/>
    <w:rsid w:val="009C2D0E"/>
    <w:rsid w:val="009C34DF"/>
    <w:rsid w:val="009C3DAC"/>
    <w:rsid w:val="009C42E0"/>
    <w:rsid w:val="009D206E"/>
    <w:rsid w:val="009D42F1"/>
    <w:rsid w:val="009D5362"/>
    <w:rsid w:val="009E1415"/>
    <w:rsid w:val="009E4D58"/>
    <w:rsid w:val="009E60F2"/>
    <w:rsid w:val="009E6116"/>
    <w:rsid w:val="009F096B"/>
    <w:rsid w:val="009F14AB"/>
    <w:rsid w:val="009F31C5"/>
    <w:rsid w:val="00A01BA9"/>
    <w:rsid w:val="00A020A7"/>
    <w:rsid w:val="00A02E43"/>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307A"/>
    <w:rsid w:val="00A45884"/>
    <w:rsid w:val="00A47EBB"/>
    <w:rsid w:val="00A51890"/>
    <w:rsid w:val="00A51CDD"/>
    <w:rsid w:val="00A54FD3"/>
    <w:rsid w:val="00A5714F"/>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977ED"/>
    <w:rsid w:val="00AA038C"/>
    <w:rsid w:val="00AA3705"/>
    <w:rsid w:val="00AA7A09"/>
    <w:rsid w:val="00AB3235"/>
    <w:rsid w:val="00AB3B50"/>
    <w:rsid w:val="00AB5E69"/>
    <w:rsid w:val="00AB78F9"/>
    <w:rsid w:val="00AC05B1"/>
    <w:rsid w:val="00AC08AB"/>
    <w:rsid w:val="00AC5220"/>
    <w:rsid w:val="00AC63DF"/>
    <w:rsid w:val="00AC6B89"/>
    <w:rsid w:val="00AD356C"/>
    <w:rsid w:val="00AD5177"/>
    <w:rsid w:val="00AD7634"/>
    <w:rsid w:val="00AD7D5B"/>
    <w:rsid w:val="00AE0EE4"/>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1718F"/>
    <w:rsid w:val="00B23A84"/>
    <w:rsid w:val="00B242BD"/>
    <w:rsid w:val="00B26FAF"/>
    <w:rsid w:val="00B353EB"/>
    <w:rsid w:val="00B3550C"/>
    <w:rsid w:val="00B439C4"/>
    <w:rsid w:val="00B4535E"/>
    <w:rsid w:val="00B52554"/>
    <w:rsid w:val="00B52A8C"/>
    <w:rsid w:val="00B57EF4"/>
    <w:rsid w:val="00B61351"/>
    <w:rsid w:val="00B61764"/>
    <w:rsid w:val="00B636A8"/>
    <w:rsid w:val="00B665C6"/>
    <w:rsid w:val="00B71E88"/>
    <w:rsid w:val="00B7534A"/>
    <w:rsid w:val="00B805AF"/>
    <w:rsid w:val="00B82543"/>
    <w:rsid w:val="00B869EC"/>
    <w:rsid w:val="00B86DC7"/>
    <w:rsid w:val="00B93704"/>
    <w:rsid w:val="00B9397A"/>
    <w:rsid w:val="00B9633D"/>
    <w:rsid w:val="00BA0447"/>
    <w:rsid w:val="00BA0B75"/>
    <w:rsid w:val="00BA2EBE"/>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21AB"/>
    <w:rsid w:val="00BE55CB"/>
    <w:rsid w:val="00BF617A"/>
    <w:rsid w:val="00BF6FCE"/>
    <w:rsid w:val="00C0379D"/>
    <w:rsid w:val="00C038E9"/>
    <w:rsid w:val="00C03931"/>
    <w:rsid w:val="00C04D89"/>
    <w:rsid w:val="00C05A76"/>
    <w:rsid w:val="00C05FE3"/>
    <w:rsid w:val="00C153C6"/>
    <w:rsid w:val="00C2136D"/>
    <w:rsid w:val="00C214EE"/>
    <w:rsid w:val="00C2314B"/>
    <w:rsid w:val="00C24971"/>
    <w:rsid w:val="00C26BE5"/>
    <w:rsid w:val="00C26E4D"/>
    <w:rsid w:val="00C27357"/>
    <w:rsid w:val="00C27909"/>
    <w:rsid w:val="00C27B03"/>
    <w:rsid w:val="00C3076F"/>
    <w:rsid w:val="00C30D69"/>
    <w:rsid w:val="00C314E1"/>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4886"/>
    <w:rsid w:val="00C8340D"/>
    <w:rsid w:val="00C85A67"/>
    <w:rsid w:val="00C8691C"/>
    <w:rsid w:val="00C8772C"/>
    <w:rsid w:val="00C97F28"/>
    <w:rsid w:val="00CA15B9"/>
    <w:rsid w:val="00CA168A"/>
    <w:rsid w:val="00CA3025"/>
    <w:rsid w:val="00CA357E"/>
    <w:rsid w:val="00CA44F9"/>
    <w:rsid w:val="00CA49C9"/>
    <w:rsid w:val="00CA4A69"/>
    <w:rsid w:val="00CB2D56"/>
    <w:rsid w:val="00CB6968"/>
    <w:rsid w:val="00CB6E9C"/>
    <w:rsid w:val="00CC3E0C"/>
    <w:rsid w:val="00CC4599"/>
    <w:rsid w:val="00CC56E2"/>
    <w:rsid w:val="00CC58D3"/>
    <w:rsid w:val="00CC6BC3"/>
    <w:rsid w:val="00CC784D"/>
    <w:rsid w:val="00CD11F7"/>
    <w:rsid w:val="00CE095F"/>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58AB"/>
    <w:rsid w:val="00D30301"/>
    <w:rsid w:val="00D324D3"/>
    <w:rsid w:val="00D362A9"/>
    <w:rsid w:val="00D42827"/>
    <w:rsid w:val="00D429C6"/>
    <w:rsid w:val="00D47748"/>
    <w:rsid w:val="00D54CC3"/>
    <w:rsid w:val="00D57710"/>
    <w:rsid w:val="00D603DE"/>
    <w:rsid w:val="00D6041A"/>
    <w:rsid w:val="00D62B03"/>
    <w:rsid w:val="00D633EB"/>
    <w:rsid w:val="00D650D8"/>
    <w:rsid w:val="00D66B2B"/>
    <w:rsid w:val="00D81822"/>
    <w:rsid w:val="00D82FF7"/>
    <w:rsid w:val="00D847FE"/>
    <w:rsid w:val="00D87922"/>
    <w:rsid w:val="00D9055F"/>
    <w:rsid w:val="00D9070D"/>
    <w:rsid w:val="00D9262C"/>
    <w:rsid w:val="00D9303B"/>
    <w:rsid w:val="00D964EA"/>
    <w:rsid w:val="00D966D0"/>
    <w:rsid w:val="00DA0C59"/>
    <w:rsid w:val="00DA3991"/>
    <w:rsid w:val="00DA40E3"/>
    <w:rsid w:val="00DA79E0"/>
    <w:rsid w:val="00DB0990"/>
    <w:rsid w:val="00DB2C4C"/>
    <w:rsid w:val="00DB7A00"/>
    <w:rsid w:val="00DB7E6C"/>
    <w:rsid w:val="00DC296C"/>
    <w:rsid w:val="00DD17E6"/>
    <w:rsid w:val="00DD4A93"/>
    <w:rsid w:val="00DD4DEA"/>
    <w:rsid w:val="00DD5A29"/>
    <w:rsid w:val="00DD5D9D"/>
    <w:rsid w:val="00DD6CAC"/>
    <w:rsid w:val="00DD7BD3"/>
    <w:rsid w:val="00DE35CB"/>
    <w:rsid w:val="00DF19EC"/>
    <w:rsid w:val="00DF1DEB"/>
    <w:rsid w:val="00DF21E9"/>
    <w:rsid w:val="00E0018E"/>
    <w:rsid w:val="00E00F14"/>
    <w:rsid w:val="00E0104C"/>
    <w:rsid w:val="00E01E5D"/>
    <w:rsid w:val="00E01FFC"/>
    <w:rsid w:val="00E0302E"/>
    <w:rsid w:val="00E06386"/>
    <w:rsid w:val="00E117D0"/>
    <w:rsid w:val="00E15072"/>
    <w:rsid w:val="00E214BC"/>
    <w:rsid w:val="00E24B93"/>
    <w:rsid w:val="00E24EB4"/>
    <w:rsid w:val="00E26AB3"/>
    <w:rsid w:val="00E320ED"/>
    <w:rsid w:val="00E32C33"/>
    <w:rsid w:val="00E33AFB"/>
    <w:rsid w:val="00E34218"/>
    <w:rsid w:val="00E36530"/>
    <w:rsid w:val="00E36BA6"/>
    <w:rsid w:val="00E44E1F"/>
    <w:rsid w:val="00E46282"/>
    <w:rsid w:val="00E5216E"/>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D7F55"/>
    <w:rsid w:val="00EE2BED"/>
    <w:rsid w:val="00EE374B"/>
    <w:rsid w:val="00EE430A"/>
    <w:rsid w:val="00EE62B1"/>
    <w:rsid w:val="00EE7AF7"/>
    <w:rsid w:val="00EF1500"/>
    <w:rsid w:val="00EF508D"/>
    <w:rsid w:val="00EF76AB"/>
    <w:rsid w:val="00F04D4C"/>
    <w:rsid w:val="00F1014C"/>
    <w:rsid w:val="00F11BB5"/>
    <w:rsid w:val="00F12B73"/>
    <w:rsid w:val="00F1417B"/>
    <w:rsid w:val="00F20367"/>
    <w:rsid w:val="00F2605B"/>
    <w:rsid w:val="00F327DD"/>
    <w:rsid w:val="00F328CE"/>
    <w:rsid w:val="00F34311"/>
    <w:rsid w:val="00F34B99"/>
    <w:rsid w:val="00F363DC"/>
    <w:rsid w:val="00F40985"/>
    <w:rsid w:val="00F42F3E"/>
    <w:rsid w:val="00F44DB6"/>
    <w:rsid w:val="00F47529"/>
    <w:rsid w:val="00F512B5"/>
    <w:rsid w:val="00F51DFB"/>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91C4D"/>
    <w:rsid w:val="00F92FD9"/>
    <w:rsid w:val="00FA190C"/>
    <w:rsid w:val="00FA2BE5"/>
    <w:rsid w:val="00FA46F4"/>
    <w:rsid w:val="00FA6684"/>
    <w:rsid w:val="00FA731E"/>
    <w:rsid w:val="00FB0F2B"/>
    <w:rsid w:val="00FB2B38"/>
    <w:rsid w:val="00FC6358"/>
    <w:rsid w:val="00FD01CF"/>
    <w:rsid w:val="00FD229E"/>
    <w:rsid w:val="00FD320D"/>
    <w:rsid w:val="00FE1C50"/>
    <w:rsid w:val="00FE23DE"/>
    <w:rsid w:val="00FF04A9"/>
    <w:rsid w:val="023D4954"/>
    <w:rsid w:val="04331C13"/>
    <w:rsid w:val="048C3708"/>
    <w:rsid w:val="07550857"/>
    <w:rsid w:val="09100613"/>
    <w:rsid w:val="09747C3D"/>
    <w:rsid w:val="0A735B76"/>
    <w:rsid w:val="0B31438B"/>
    <w:rsid w:val="0B8E1549"/>
    <w:rsid w:val="0DA36C9F"/>
    <w:rsid w:val="0E7915B3"/>
    <w:rsid w:val="0EFA7C17"/>
    <w:rsid w:val="0F134540"/>
    <w:rsid w:val="10741C20"/>
    <w:rsid w:val="130971BA"/>
    <w:rsid w:val="1332517E"/>
    <w:rsid w:val="141137FC"/>
    <w:rsid w:val="15146C63"/>
    <w:rsid w:val="15A35167"/>
    <w:rsid w:val="19952471"/>
    <w:rsid w:val="19FA0027"/>
    <w:rsid w:val="1BD13457"/>
    <w:rsid w:val="1CED2B1F"/>
    <w:rsid w:val="1D811424"/>
    <w:rsid w:val="20796C02"/>
    <w:rsid w:val="213A5051"/>
    <w:rsid w:val="21BC6082"/>
    <w:rsid w:val="238B212F"/>
    <w:rsid w:val="24A53837"/>
    <w:rsid w:val="25DC74DF"/>
    <w:rsid w:val="27AC3AB8"/>
    <w:rsid w:val="280C1991"/>
    <w:rsid w:val="28833224"/>
    <w:rsid w:val="28A1505D"/>
    <w:rsid w:val="28AF7D80"/>
    <w:rsid w:val="2BC7222F"/>
    <w:rsid w:val="2CCF3808"/>
    <w:rsid w:val="2DDB470E"/>
    <w:rsid w:val="2DF9647A"/>
    <w:rsid w:val="2EA8435B"/>
    <w:rsid w:val="2ECE1C8F"/>
    <w:rsid w:val="2F231252"/>
    <w:rsid w:val="306E28D0"/>
    <w:rsid w:val="30BB3962"/>
    <w:rsid w:val="33251C93"/>
    <w:rsid w:val="33B77338"/>
    <w:rsid w:val="36195417"/>
    <w:rsid w:val="39872B7F"/>
    <w:rsid w:val="3BD510BF"/>
    <w:rsid w:val="3DC26BC1"/>
    <w:rsid w:val="402E32EA"/>
    <w:rsid w:val="409037DD"/>
    <w:rsid w:val="40C90CF5"/>
    <w:rsid w:val="40D81BC4"/>
    <w:rsid w:val="41BF0C10"/>
    <w:rsid w:val="42252998"/>
    <w:rsid w:val="43374264"/>
    <w:rsid w:val="4590011C"/>
    <w:rsid w:val="461A21B0"/>
    <w:rsid w:val="4774096E"/>
    <w:rsid w:val="478C4A09"/>
    <w:rsid w:val="47CC50EA"/>
    <w:rsid w:val="486B6AAE"/>
    <w:rsid w:val="495C5D9C"/>
    <w:rsid w:val="498F13B4"/>
    <w:rsid w:val="4D083ACD"/>
    <w:rsid w:val="4DA0650B"/>
    <w:rsid w:val="4DFA77B7"/>
    <w:rsid w:val="4EE7483D"/>
    <w:rsid w:val="50C74EC9"/>
    <w:rsid w:val="52331739"/>
    <w:rsid w:val="52795885"/>
    <w:rsid w:val="531014A6"/>
    <w:rsid w:val="53AE4934"/>
    <w:rsid w:val="53E46CB9"/>
    <w:rsid w:val="542E058A"/>
    <w:rsid w:val="5ABF5477"/>
    <w:rsid w:val="5B313B9E"/>
    <w:rsid w:val="5B5D396C"/>
    <w:rsid w:val="5B8E365A"/>
    <w:rsid w:val="5C1E20F6"/>
    <w:rsid w:val="5ED07CF9"/>
    <w:rsid w:val="5EFA31A7"/>
    <w:rsid w:val="61F318F6"/>
    <w:rsid w:val="66304471"/>
    <w:rsid w:val="66762E6D"/>
    <w:rsid w:val="67513297"/>
    <w:rsid w:val="6C85616F"/>
    <w:rsid w:val="70F970C1"/>
    <w:rsid w:val="723C6880"/>
    <w:rsid w:val="72C21831"/>
    <w:rsid w:val="72CD69FE"/>
    <w:rsid w:val="72F94E47"/>
    <w:rsid w:val="78E3773F"/>
    <w:rsid w:val="7A66260F"/>
    <w:rsid w:val="7AE27B61"/>
    <w:rsid w:val="7BDC3400"/>
    <w:rsid w:val="7C846223"/>
    <w:rsid w:val="7EF356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0"/>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1"/>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index 6"/>
    <w:basedOn w:val="1"/>
    <w:next w:val="1"/>
    <w:qFormat/>
    <w:uiPriority w:val="0"/>
    <w:pPr>
      <w:ind w:left="1260" w:hanging="210"/>
      <w:jc w:val="left"/>
    </w:pPr>
    <w:rPr>
      <w:rFonts w:ascii="Calibri" w:hAnsi="Calibri"/>
      <w:sz w:val="20"/>
      <w:szCs w:val="20"/>
    </w:rPr>
  </w:style>
  <w:style w:type="paragraph" w:styleId="11">
    <w:name w:val="index 4"/>
    <w:basedOn w:val="1"/>
    <w:next w:val="1"/>
    <w:qFormat/>
    <w:uiPriority w:val="0"/>
    <w:pPr>
      <w:ind w:left="840" w:hanging="210"/>
      <w:jc w:val="left"/>
    </w:pPr>
    <w:rPr>
      <w:rFonts w:ascii="Calibri" w:hAnsi="Calibri"/>
      <w:sz w:val="20"/>
      <w:szCs w:val="20"/>
    </w:rPr>
  </w:style>
  <w:style w:type="paragraph" w:styleId="12">
    <w:name w:val="toc 5"/>
    <w:basedOn w:val="1"/>
    <w:next w:val="1"/>
    <w:semiHidden/>
    <w:qFormat/>
    <w:uiPriority w:val="0"/>
    <w:pPr>
      <w:tabs>
        <w:tab w:val="right" w:leader="dot" w:pos="9241"/>
      </w:tabs>
      <w:ind w:firstLine="300" w:firstLineChars="300"/>
      <w:jc w:val="left"/>
    </w:pPr>
    <w:rPr>
      <w:rFonts w:ascii="宋体"/>
      <w:szCs w:val="21"/>
    </w:rPr>
  </w:style>
  <w:style w:type="paragraph" w:styleId="13">
    <w:name w:val="toc 3"/>
    <w:basedOn w:val="1"/>
    <w:next w:val="1"/>
    <w:qFormat/>
    <w:uiPriority w:val="39"/>
    <w:pPr>
      <w:tabs>
        <w:tab w:val="right" w:leader="dot" w:pos="9241"/>
      </w:tabs>
      <w:ind w:firstLine="100" w:firstLineChars="100"/>
      <w:jc w:val="left"/>
    </w:pPr>
    <w:rPr>
      <w:rFonts w:ascii="宋体"/>
      <w:szCs w:val="21"/>
    </w:rPr>
  </w:style>
  <w:style w:type="paragraph" w:styleId="14">
    <w:name w:val="toc 8"/>
    <w:basedOn w:val="1"/>
    <w:next w:val="1"/>
    <w:semiHidden/>
    <w:qFormat/>
    <w:uiPriority w:val="0"/>
    <w:pPr>
      <w:tabs>
        <w:tab w:val="right" w:leader="dot" w:pos="9241"/>
      </w:tabs>
      <w:ind w:firstLine="607" w:firstLineChars="600"/>
      <w:jc w:val="left"/>
    </w:pPr>
    <w:rPr>
      <w:rFonts w:ascii="宋体"/>
      <w:szCs w:val="21"/>
    </w:rPr>
  </w:style>
  <w:style w:type="paragraph" w:styleId="15">
    <w:name w:val="index 3"/>
    <w:basedOn w:val="1"/>
    <w:next w:val="1"/>
    <w:qFormat/>
    <w:uiPriority w:val="0"/>
    <w:pPr>
      <w:ind w:left="630" w:hanging="210"/>
      <w:jc w:val="left"/>
    </w:pPr>
    <w:rPr>
      <w:rFonts w:ascii="Calibri" w:hAnsi="Calibri"/>
      <w:sz w:val="20"/>
      <w:szCs w:val="20"/>
    </w:rPr>
  </w:style>
  <w:style w:type="paragraph" w:styleId="16">
    <w:name w:val="endnote text"/>
    <w:basedOn w:val="1"/>
    <w:semiHidden/>
    <w:qFormat/>
    <w:uiPriority w:val="0"/>
    <w:pPr>
      <w:snapToGrid w:val="0"/>
      <w:jc w:val="left"/>
    </w:pPr>
  </w:style>
  <w:style w:type="paragraph" w:styleId="17">
    <w:name w:val="Balloon Text"/>
    <w:basedOn w:val="1"/>
    <w:link w:val="142"/>
    <w:qFormat/>
    <w:uiPriority w:val="0"/>
    <w:rPr>
      <w:sz w:val="18"/>
      <w:szCs w:val="18"/>
    </w:rPr>
  </w:style>
  <w:style w:type="paragraph" w:styleId="18">
    <w:name w:val="footer"/>
    <w:basedOn w:val="1"/>
    <w:link w:val="148"/>
    <w:qFormat/>
    <w:uiPriority w:val="99"/>
    <w:pPr>
      <w:snapToGrid w:val="0"/>
      <w:ind w:right="210" w:rightChars="100"/>
      <w:jc w:val="right"/>
    </w:pPr>
    <w:rPr>
      <w:sz w:val="18"/>
      <w:szCs w:val="18"/>
    </w:rPr>
  </w:style>
  <w:style w:type="paragraph" w:styleId="19">
    <w:name w:val="header"/>
    <w:basedOn w:val="1"/>
    <w:qFormat/>
    <w:uiPriority w:val="0"/>
    <w:pPr>
      <w:snapToGrid w:val="0"/>
      <w:jc w:val="left"/>
    </w:pPr>
    <w:rPr>
      <w:sz w:val="18"/>
      <w:szCs w:val="18"/>
    </w:rPr>
  </w:style>
  <w:style w:type="paragraph" w:styleId="20">
    <w:name w:val="toc 1"/>
    <w:basedOn w:val="1"/>
    <w:next w:val="1"/>
    <w:qFormat/>
    <w:uiPriority w:val="39"/>
    <w:pPr>
      <w:tabs>
        <w:tab w:val="right" w:leader="dot" w:pos="9242"/>
      </w:tabs>
      <w:spacing w:beforeLines="25" w:afterLines="25"/>
      <w:jc w:val="left"/>
    </w:pPr>
    <w:rPr>
      <w:rFonts w:ascii="宋体"/>
      <w:szCs w:val="21"/>
    </w:rPr>
  </w:style>
  <w:style w:type="paragraph" w:styleId="21">
    <w:name w:val="toc 4"/>
    <w:basedOn w:val="1"/>
    <w:next w:val="1"/>
    <w:semiHidden/>
    <w:qFormat/>
    <w:uiPriority w:val="0"/>
    <w:pPr>
      <w:tabs>
        <w:tab w:val="right" w:leader="dot" w:pos="9241"/>
      </w:tabs>
      <w:ind w:firstLine="200" w:firstLineChars="200"/>
      <w:jc w:val="left"/>
    </w:pPr>
    <w:rPr>
      <w:rFonts w:ascii="宋体"/>
      <w:szCs w:val="21"/>
    </w:rPr>
  </w:style>
  <w:style w:type="paragraph" w:styleId="22">
    <w:name w:val="index heading"/>
    <w:basedOn w:val="1"/>
    <w:next w:val="23"/>
    <w:qFormat/>
    <w:uiPriority w:val="0"/>
    <w:pPr>
      <w:spacing w:before="120" w:after="120"/>
      <w:jc w:val="center"/>
    </w:pPr>
    <w:rPr>
      <w:rFonts w:ascii="Calibri" w:hAnsi="Calibri"/>
      <w:b/>
      <w:bCs/>
      <w:iCs/>
      <w:szCs w:val="20"/>
    </w:rPr>
  </w:style>
  <w:style w:type="paragraph" w:styleId="23">
    <w:name w:val="index 1"/>
    <w:basedOn w:val="1"/>
    <w:next w:val="24"/>
    <w:qFormat/>
    <w:uiPriority w:val="0"/>
    <w:pPr>
      <w:tabs>
        <w:tab w:val="right" w:leader="dot" w:pos="9299"/>
      </w:tabs>
      <w:jc w:val="left"/>
    </w:pPr>
    <w:rPr>
      <w:rFonts w:ascii="宋体"/>
      <w:szCs w:val="21"/>
    </w:rPr>
  </w:style>
  <w:style w:type="paragraph" w:customStyle="1" w:styleId="24">
    <w:name w:val="段"/>
    <w:link w:val="4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qFormat/>
    <w:uiPriority w:val="0"/>
    <w:pPr>
      <w:numPr>
        <w:ilvl w:val="0"/>
        <w:numId w:val="1"/>
      </w:numPr>
      <w:snapToGrid w:val="0"/>
      <w:jc w:val="left"/>
    </w:pPr>
    <w:rPr>
      <w:rFonts w:ascii="宋体"/>
      <w:sz w:val="18"/>
      <w:szCs w:val="18"/>
    </w:rPr>
  </w:style>
  <w:style w:type="paragraph" w:styleId="26">
    <w:name w:val="toc 6"/>
    <w:basedOn w:val="1"/>
    <w:next w:val="1"/>
    <w:semiHidden/>
    <w:qFormat/>
    <w:uiPriority w:val="0"/>
    <w:pPr>
      <w:tabs>
        <w:tab w:val="right" w:leader="dot" w:pos="9241"/>
      </w:tabs>
      <w:ind w:firstLine="400" w:firstLineChars="400"/>
      <w:jc w:val="left"/>
    </w:pPr>
    <w:rPr>
      <w:rFonts w:ascii="宋体"/>
      <w:szCs w:val="21"/>
    </w:rPr>
  </w:style>
  <w:style w:type="paragraph" w:styleId="27">
    <w:name w:val="index 7"/>
    <w:basedOn w:val="1"/>
    <w:next w:val="1"/>
    <w:qFormat/>
    <w:uiPriority w:val="0"/>
    <w:pPr>
      <w:ind w:left="1470" w:hanging="210"/>
      <w:jc w:val="left"/>
    </w:pPr>
    <w:rPr>
      <w:rFonts w:ascii="Calibri" w:hAnsi="Calibri"/>
      <w:sz w:val="20"/>
      <w:szCs w:val="20"/>
    </w:rPr>
  </w:style>
  <w:style w:type="paragraph" w:styleId="28">
    <w:name w:val="index 9"/>
    <w:basedOn w:val="1"/>
    <w:next w:val="1"/>
    <w:qFormat/>
    <w:uiPriority w:val="0"/>
    <w:pPr>
      <w:ind w:left="1890" w:hanging="210"/>
      <w:jc w:val="left"/>
    </w:pPr>
    <w:rPr>
      <w:rFonts w:ascii="Calibri" w:hAnsi="Calibri"/>
      <w:sz w:val="20"/>
      <w:szCs w:val="20"/>
    </w:rPr>
  </w:style>
  <w:style w:type="paragraph" w:styleId="29">
    <w:name w:val="toc 2"/>
    <w:basedOn w:val="1"/>
    <w:next w:val="1"/>
    <w:qFormat/>
    <w:uiPriority w:val="39"/>
    <w:pPr>
      <w:tabs>
        <w:tab w:val="right" w:leader="dot" w:pos="9242"/>
      </w:tabs>
      <w:ind w:left="100" w:leftChars="100"/>
    </w:pPr>
    <w:rPr>
      <w:rFonts w:ascii="宋体"/>
      <w:szCs w:val="21"/>
    </w:rPr>
  </w:style>
  <w:style w:type="paragraph" w:styleId="30">
    <w:name w:val="toc 9"/>
    <w:basedOn w:val="1"/>
    <w:next w:val="1"/>
    <w:semiHidden/>
    <w:qFormat/>
    <w:uiPriority w:val="0"/>
    <w:pPr>
      <w:ind w:left="1470"/>
      <w:jc w:val="left"/>
    </w:pPr>
    <w:rPr>
      <w:sz w:val="20"/>
      <w:szCs w:val="20"/>
    </w:r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2">
    <w:name w:val="index 2"/>
    <w:basedOn w:val="1"/>
    <w:next w:val="1"/>
    <w:qFormat/>
    <w:uiPriority w:val="0"/>
    <w:pPr>
      <w:ind w:left="420" w:hanging="210"/>
      <w:jc w:val="left"/>
    </w:pPr>
    <w:rPr>
      <w:rFonts w:ascii="Calibri" w:hAnsi="Calibri"/>
      <w:sz w:val="20"/>
      <w:szCs w:val="20"/>
    </w:rPr>
  </w:style>
  <w:style w:type="paragraph" w:styleId="33">
    <w:name w:val="Title"/>
    <w:basedOn w:val="1"/>
    <w:next w:val="1"/>
    <w:link w:val="146"/>
    <w:qFormat/>
    <w:uiPriority w:val="0"/>
    <w:pPr>
      <w:spacing w:before="240" w:after="60"/>
      <w:jc w:val="center"/>
      <w:outlineLvl w:val="0"/>
    </w:pPr>
    <w:rPr>
      <w:rFonts w:asciiTheme="majorHAnsi" w:hAnsiTheme="majorHAnsi" w:eastAsiaTheme="majorEastAsia" w:cstheme="majorBidi"/>
      <w:b/>
      <w:bCs/>
      <w:sz w:val="32"/>
      <w:szCs w:val="32"/>
    </w:rPr>
  </w:style>
  <w:style w:type="table" w:styleId="35">
    <w:name w:val="Table Grid"/>
    <w:basedOn w:val="34"/>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Strong"/>
    <w:qFormat/>
    <w:uiPriority w:val="22"/>
    <w:rPr>
      <w:b/>
      <w:bCs/>
    </w:rPr>
  </w:style>
  <w:style w:type="character" w:styleId="38">
    <w:name w:val="endnote reference"/>
    <w:semiHidden/>
    <w:qFormat/>
    <w:uiPriority w:val="0"/>
    <w:rPr>
      <w:vertAlign w:val="superscript"/>
    </w:rPr>
  </w:style>
  <w:style w:type="character" w:styleId="39">
    <w:name w:val="page number"/>
    <w:basedOn w:val="36"/>
    <w:qFormat/>
    <w:uiPriority w:val="0"/>
    <w:rPr>
      <w:rFonts w:ascii="Times New Roman" w:hAnsi="Times New Roman" w:eastAsia="宋体"/>
      <w:sz w:val="18"/>
    </w:rPr>
  </w:style>
  <w:style w:type="character" w:styleId="40">
    <w:name w:val="Hyperlink"/>
    <w:qFormat/>
    <w:uiPriority w:val="99"/>
    <w:rPr>
      <w:color w:val="0000FF"/>
      <w:spacing w:val="0"/>
      <w:w w:val="100"/>
      <w:szCs w:val="21"/>
      <w:u w:val="single"/>
    </w:rPr>
  </w:style>
  <w:style w:type="character" w:styleId="41">
    <w:name w:val="footnote reference"/>
    <w:semiHidden/>
    <w:qFormat/>
    <w:uiPriority w:val="0"/>
    <w:rPr>
      <w:vertAlign w:val="superscript"/>
    </w:rPr>
  </w:style>
  <w:style w:type="character" w:customStyle="1" w:styleId="42">
    <w:name w:val="段 Char"/>
    <w:link w:val="24"/>
    <w:qFormat/>
    <w:uiPriority w:val="0"/>
    <w:rPr>
      <w:rFonts w:ascii="宋体"/>
      <w:sz w:val="21"/>
      <w:lang w:val="en-US" w:eastAsia="zh-CN" w:bidi="ar-SA"/>
    </w:rPr>
  </w:style>
  <w:style w:type="paragraph" w:customStyle="1" w:styleId="43">
    <w:name w:val="一级条标题"/>
    <w:next w:val="24"/>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5">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6">
    <w:name w:val="章标题"/>
    <w:next w:val="24"/>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7">
    <w:name w:val="二级条标题"/>
    <w:basedOn w:val="43"/>
    <w:next w:val="24"/>
    <w:link w:val="147"/>
    <w:qFormat/>
    <w:uiPriority w:val="0"/>
    <w:pPr>
      <w:numPr>
        <w:ilvl w:val="2"/>
      </w:numPr>
      <w:outlineLvl w:val="3"/>
    </w:pPr>
  </w:style>
  <w:style w:type="paragraph" w:customStyle="1" w:styleId="48">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9">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0">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1">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2">
    <w:name w:val="三级条标题"/>
    <w:basedOn w:val="47"/>
    <w:next w:val="24"/>
    <w:qFormat/>
    <w:uiPriority w:val="0"/>
    <w:pPr>
      <w:numPr>
        <w:ilvl w:val="3"/>
      </w:numPr>
      <w:outlineLvl w:val="4"/>
    </w:pPr>
  </w:style>
  <w:style w:type="paragraph" w:customStyle="1" w:styleId="53">
    <w:name w:val="示例"/>
    <w:next w:val="54"/>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4">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5">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6">
    <w:name w:val="四级条标题"/>
    <w:basedOn w:val="52"/>
    <w:next w:val="24"/>
    <w:qFormat/>
    <w:uiPriority w:val="0"/>
    <w:pPr>
      <w:numPr>
        <w:ilvl w:val="4"/>
      </w:numPr>
      <w:outlineLvl w:val="5"/>
    </w:pPr>
  </w:style>
  <w:style w:type="paragraph" w:customStyle="1" w:styleId="57">
    <w:name w:val="五级条标题"/>
    <w:basedOn w:val="56"/>
    <w:next w:val="24"/>
    <w:qFormat/>
    <w:uiPriority w:val="0"/>
    <w:pPr>
      <w:numPr>
        <w:ilvl w:val="5"/>
      </w:numPr>
      <w:outlineLvl w:val="6"/>
    </w:pPr>
  </w:style>
  <w:style w:type="paragraph" w:customStyle="1" w:styleId="58">
    <w:name w:val="注："/>
    <w:next w:val="24"/>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59">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0">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1">
    <w:name w:val="列项◆（三级）"/>
    <w:basedOn w:val="1"/>
    <w:qFormat/>
    <w:uiPriority w:val="0"/>
    <w:pPr>
      <w:numPr>
        <w:ilvl w:val="2"/>
        <w:numId w:val="3"/>
      </w:numPr>
    </w:pPr>
    <w:rPr>
      <w:rFonts w:ascii="宋体"/>
      <w:szCs w:val="21"/>
    </w:rPr>
  </w:style>
  <w:style w:type="paragraph" w:customStyle="1" w:styleId="62">
    <w:name w:val="编号列项（三级）"/>
    <w:qFormat/>
    <w:uiPriority w:val="0"/>
    <w:rPr>
      <w:rFonts w:ascii="宋体" w:hAnsi="Times New Roman" w:eastAsia="宋体" w:cs="Times New Roman"/>
      <w:sz w:val="21"/>
      <w:lang w:val="en-US" w:eastAsia="zh-CN" w:bidi="ar-SA"/>
    </w:rPr>
  </w:style>
  <w:style w:type="paragraph" w:customStyle="1" w:styleId="63">
    <w:name w:val="示例×："/>
    <w:basedOn w:val="46"/>
    <w:qFormat/>
    <w:uiPriority w:val="0"/>
    <w:pPr>
      <w:numPr>
        <w:numId w:val="8"/>
      </w:numPr>
      <w:spacing w:beforeLines="0" w:afterLines="0"/>
      <w:outlineLvl w:val="9"/>
    </w:pPr>
    <w:rPr>
      <w:rFonts w:ascii="宋体" w:eastAsia="宋体"/>
      <w:sz w:val="18"/>
      <w:szCs w:val="18"/>
    </w:rPr>
  </w:style>
  <w:style w:type="paragraph" w:customStyle="1" w:styleId="64">
    <w:name w:val="二级无"/>
    <w:basedOn w:val="47"/>
    <w:qFormat/>
    <w:uiPriority w:val="0"/>
    <w:pPr>
      <w:spacing w:before="0" w:beforeLines="0" w:after="0" w:afterLines="0"/>
    </w:pPr>
    <w:rPr>
      <w:rFonts w:ascii="宋体" w:eastAsia="宋体"/>
    </w:rPr>
  </w:style>
  <w:style w:type="paragraph" w:customStyle="1" w:styleId="65">
    <w:name w:val="注：（正文）"/>
    <w:basedOn w:val="58"/>
    <w:next w:val="24"/>
    <w:qFormat/>
    <w:uiPriority w:val="0"/>
    <w:pPr>
      <w:numPr>
        <w:ilvl w:val="0"/>
        <w:numId w:val="9"/>
      </w:numPr>
    </w:pPr>
  </w:style>
  <w:style w:type="paragraph" w:customStyle="1" w:styleId="66">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67">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8">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69">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0">
    <w:name w:val="标准书眉_偶数页"/>
    <w:basedOn w:val="45"/>
    <w:next w:val="1"/>
    <w:qFormat/>
    <w:uiPriority w:val="0"/>
    <w:pPr>
      <w:jc w:val="left"/>
    </w:pPr>
  </w:style>
  <w:style w:type="paragraph" w:customStyle="1" w:styleId="71">
    <w:name w:val="标准书眉一"/>
    <w:qFormat/>
    <w:uiPriority w:val="0"/>
    <w:pPr>
      <w:jc w:val="both"/>
    </w:pPr>
    <w:rPr>
      <w:rFonts w:ascii="Times New Roman" w:hAnsi="Times New Roman" w:eastAsia="宋体" w:cs="Times New Roman"/>
      <w:lang w:val="en-US" w:eastAsia="zh-CN" w:bidi="ar-SA"/>
    </w:rPr>
  </w:style>
  <w:style w:type="paragraph" w:customStyle="1" w:styleId="72">
    <w:name w:val="参考文献"/>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3">
    <w:name w:val="参考文献、索引标题"/>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4">
    <w:name w:val="发布"/>
    <w:qFormat/>
    <w:uiPriority w:val="0"/>
    <w:rPr>
      <w:rFonts w:ascii="黑体" w:eastAsia="黑体"/>
      <w:spacing w:val="85"/>
      <w:w w:val="100"/>
      <w:position w:val="3"/>
      <w:sz w:val="28"/>
      <w:szCs w:val="28"/>
    </w:rPr>
  </w:style>
  <w:style w:type="paragraph" w:customStyle="1" w:styleId="75">
    <w:name w:val="发布部门"/>
    <w:next w:val="2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6">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7">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9">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0">
    <w:name w:val="封面标准英文名称"/>
    <w:basedOn w:val="79"/>
    <w:qFormat/>
    <w:uiPriority w:val="0"/>
    <w:pPr>
      <w:framePr w:wrap="around"/>
      <w:spacing w:before="370" w:line="400" w:lineRule="exact"/>
    </w:pPr>
    <w:rPr>
      <w:rFonts w:ascii="Times New Roman"/>
      <w:sz w:val="28"/>
      <w:szCs w:val="28"/>
    </w:rPr>
  </w:style>
  <w:style w:type="paragraph" w:customStyle="1" w:styleId="81">
    <w:name w:val="封面一致性程度标识"/>
    <w:basedOn w:val="80"/>
    <w:qFormat/>
    <w:uiPriority w:val="0"/>
    <w:pPr>
      <w:framePr w:wrap="around"/>
      <w:spacing w:before="440"/>
    </w:pPr>
    <w:rPr>
      <w:rFonts w:ascii="宋体" w:eastAsia="宋体"/>
    </w:rPr>
  </w:style>
  <w:style w:type="paragraph" w:customStyle="1" w:styleId="82">
    <w:name w:val="封面标准文稿类别"/>
    <w:basedOn w:val="81"/>
    <w:qFormat/>
    <w:uiPriority w:val="0"/>
    <w:pPr>
      <w:framePr w:wrap="around"/>
      <w:spacing w:after="160" w:line="240" w:lineRule="auto"/>
    </w:pPr>
    <w:rPr>
      <w:sz w:val="24"/>
    </w:rPr>
  </w:style>
  <w:style w:type="paragraph" w:customStyle="1" w:styleId="83">
    <w:name w:val="封面标准文稿编辑信息"/>
    <w:basedOn w:val="82"/>
    <w:qFormat/>
    <w:uiPriority w:val="0"/>
    <w:pPr>
      <w:framePr w:wrap="around"/>
      <w:spacing w:before="180" w:line="180" w:lineRule="exact"/>
    </w:pPr>
    <w:rPr>
      <w:sz w:val="21"/>
    </w:rPr>
  </w:style>
  <w:style w:type="paragraph" w:customStyle="1" w:styleId="84">
    <w:name w:val="封面正文"/>
    <w:qFormat/>
    <w:uiPriority w:val="0"/>
    <w:pPr>
      <w:jc w:val="both"/>
    </w:pPr>
    <w:rPr>
      <w:rFonts w:ascii="Times New Roman" w:hAnsi="Times New Roman" w:eastAsia="宋体" w:cs="Times New Roman"/>
      <w:lang w:val="en-US" w:eastAsia="zh-CN" w:bidi="ar-SA"/>
    </w:rPr>
  </w:style>
  <w:style w:type="paragraph" w:customStyle="1" w:styleId="85">
    <w:name w:val="附录标识"/>
    <w:basedOn w:val="1"/>
    <w:next w:val="24"/>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6">
    <w:name w:val="附录标题"/>
    <w:basedOn w:val="24"/>
    <w:next w:val="24"/>
    <w:qFormat/>
    <w:uiPriority w:val="0"/>
    <w:pPr>
      <w:ind w:firstLine="0" w:firstLineChars="0"/>
      <w:jc w:val="center"/>
    </w:pPr>
    <w:rPr>
      <w:rFonts w:ascii="黑体" w:eastAsia="黑体"/>
    </w:rPr>
  </w:style>
  <w:style w:type="paragraph" w:customStyle="1" w:styleId="87">
    <w:name w:val="附录表标号"/>
    <w:basedOn w:val="1"/>
    <w:next w:val="24"/>
    <w:qFormat/>
    <w:uiPriority w:val="0"/>
    <w:pPr>
      <w:numPr>
        <w:ilvl w:val="0"/>
        <w:numId w:val="12"/>
      </w:numPr>
      <w:spacing w:line="14" w:lineRule="exact"/>
      <w:ind w:left="811" w:hanging="448"/>
      <w:jc w:val="center"/>
      <w:outlineLvl w:val="0"/>
    </w:pPr>
    <w:rPr>
      <w:color w:val="FFFFFF"/>
    </w:rPr>
  </w:style>
  <w:style w:type="paragraph" w:customStyle="1" w:styleId="88">
    <w:name w:val="附录表标题"/>
    <w:basedOn w:val="1"/>
    <w:next w:val="24"/>
    <w:qFormat/>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89">
    <w:name w:val="附录二级条标题"/>
    <w:basedOn w:val="1"/>
    <w:next w:val="24"/>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0">
    <w:name w:val="附录二级无"/>
    <w:basedOn w:val="89"/>
    <w:qFormat/>
    <w:uiPriority w:val="0"/>
    <w:pPr>
      <w:tabs>
        <w:tab w:val="clear" w:pos="360"/>
      </w:tabs>
      <w:spacing w:beforeLines="0" w:afterLines="0"/>
    </w:pPr>
    <w:rPr>
      <w:rFonts w:ascii="宋体" w:eastAsia="宋体"/>
      <w:szCs w:val="21"/>
    </w:rPr>
  </w:style>
  <w:style w:type="paragraph" w:customStyle="1" w:styleId="91">
    <w:name w:val="附录公式"/>
    <w:basedOn w:val="24"/>
    <w:next w:val="24"/>
    <w:link w:val="92"/>
    <w:qFormat/>
    <w:uiPriority w:val="0"/>
  </w:style>
  <w:style w:type="character" w:customStyle="1" w:styleId="92">
    <w:name w:val="附录公式 Char"/>
    <w:basedOn w:val="42"/>
    <w:link w:val="91"/>
    <w:qFormat/>
    <w:uiPriority w:val="0"/>
    <w:rPr>
      <w:rFonts w:ascii="宋体"/>
      <w:sz w:val="21"/>
      <w:lang w:val="en-US" w:eastAsia="zh-CN" w:bidi="ar-SA"/>
    </w:rPr>
  </w:style>
  <w:style w:type="paragraph" w:customStyle="1" w:styleId="93">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94">
    <w:name w:val="附录三级条标题"/>
    <w:basedOn w:val="89"/>
    <w:next w:val="24"/>
    <w:qFormat/>
    <w:uiPriority w:val="0"/>
    <w:pPr>
      <w:numPr>
        <w:ilvl w:val="4"/>
      </w:numPr>
      <w:outlineLvl w:val="4"/>
    </w:pPr>
  </w:style>
  <w:style w:type="paragraph" w:customStyle="1" w:styleId="95">
    <w:name w:val="附录三级无"/>
    <w:basedOn w:val="94"/>
    <w:qFormat/>
    <w:uiPriority w:val="0"/>
    <w:pPr>
      <w:tabs>
        <w:tab w:val="clear" w:pos="360"/>
      </w:tabs>
      <w:spacing w:beforeLines="0" w:afterLines="0"/>
    </w:pPr>
    <w:rPr>
      <w:rFonts w:ascii="宋体" w:eastAsia="宋体"/>
      <w:szCs w:val="21"/>
    </w:rPr>
  </w:style>
  <w:style w:type="paragraph" w:customStyle="1" w:styleId="96">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97">
    <w:name w:val="附录四级条标题"/>
    <w:basedOn w:val="94"/>
    <w:next w:val="24"/>
    <w:qFormat/>
    <w:uiPriority w:val="0"/>
    <w:pPr>
      <w:numPr>
        <w:ilvl w:val="5"/>
      </w:numPr>
      <w:outlineLvl w:val="5"/>
    </w:pPr>
  </w:style>
  <w:style w:type="paragraph" w:customStyle="1" w:styleId="98">
    <w:name w:val="附录四级无"/>
    <w:basedOn w:val="97"/>
    <w:qFormat/>
    <w:uiPriority w:val="0"/>
    <w:pPr>
      <w:tabs>
        <w:tab w:val="clear" w:pos="360"/>
      </w:tabs>
      <w:spacing w:beforeLines="0" w:afterLines="0"/>
    </w:pPr>
    <w:rPr>
      <w:rFonts w:ascii="宋体" w:eastAsia="宋体"/>
      <w:szCs w:val="21"/>
    </w:rPr>
  </w:style>
  <w:style w:type="paragraph" w:customStyle="1" w:styleId="99">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00">
    <w:name w:val="附录图标题"/>
    <w:basedOn w:val="1"/>
    <w:next w:val="24"/>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01">
    <w:name w:val="附录五级条标题"/>
    <w:basedOn w:val="97"/>
    <w:next w:val="24"/>
    <w:qFormat/>
    <w:uiPriority w:val="0"/>
    <w:pPr>
      <w:numPr>
        <w:ilvl w:val="6"/>
      </w:numPr>
      <w:outlineLvl w:val="6"/>
    </w:pPr>
  </w:style>
  <w:style w:type="paragraph" w:customStyle="1" w:styleId="102">
    <w:name w:val="附录五级无"/>
    <w:basedOn w:val="101"/>
    <w:qFormat/>
    <w:uiPriority w:val="0"/>
    <w:pPr>
      <w:tabs>
        <w:tab w:val="clear" w:pos="360"/>
      </w:tabs>
      <w:spacing w:beforeLines="0" w:afterLines="0"/>
    </w:pPr>
    <w:rPr>
      <w:rFonts w:ascii="宋体" w:eastAsia="宋体"/>
      <w:szCs w:val="21"/>
    </w:rPr>
  </w:style>
  <w:style w:type="paragraph" w:customStyle="1" w:styleId="103">
    <w:name w:val="附录章标题"/>
    <w:next w:val="24"/>
    <w:qFormat/>
    <w:uiPriority w:val="0"/>
    <w:pPr>
      <w:numPr>
        <w:ilvl w:val="1"/>
        <w:numId w:val="11"/>
      </w:numPr>
      <w:tabs>
        <w:tab w:val="left" w:pos="360"/>
      </w:tabs>
      <w:wordWrap w:val="0"/>
      <w:overflowPunct w:val="0"/>
      <w:autoSpaceDE w:val="0"/>
      <w:spacing w:before="312" w:beforeLines="100" w:after="312"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4">
    <w:name w:val="附录一级条标题"/>
    <w:basedOn w:val="103"/>
    <w:next w:val="24"/>
    <w:qFormat/>
    <w:uiPriority w:val="0"/>
    <w:pPr>
      <w:numPr>
        <w:ilvl w:val="2"/>
      </w:numPr>
      <w:autoSpaceDN w:val="0"/>
      <w:spacing w:before="50" w:beforeLines="50" w:after="50" w:afterLines="50"/>
      <w:ind w:left="0"/>
      <w:outlineLvl w:val="2"/>
    </w:pPr>
  </w:style>
  <w:style w:type="paragraph" w:customStyle="1" w:styleId="105">
    <w:name w:val="附录一级无"/>
    <w:basedOn w:val="104"/>
    <w:qFormat/>
    <w:uiPriority w:val="0"/>
    <w:pPr>
      <w:tabs>
        <w:tab w:val="clear" w:pos="360"/>
      </w:tabs>
      <w:spacing w:beforeLines="0" w:afterLines="0"/>
    </w:pPr>
    <w:rPr>
      <w:rFonts w:ascii="宋体" w:eastAsia="宋体"/>
      <w:szCs w:val="21"/>
    </w:rPr>
  </w:style>
  <w:style w:type="paragraph" w:customStyle="1" w:styleId="106">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07">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8">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0">
    <w:name w:val="其他标准标志"/>
    <w:basedOn w:val="67"/>
    <w:qFormat/>
    <w:uiPriority w:val="0"/>
    <w:pPr>
      <w:framePr w:w="6101" w:wrap="around" w:vAnchor="page" w:hAnchor="page" w:x="4673" w:y="942"/>
    </w:pPr>
    <w:rPr>
      <w:w w:val="130"/>
    </w:rPr>
  </w:style>
  <w:style w:type="paragraph" w:customStyle="1" w:styleId="111">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2">
    <w:name w:val="其他发布部门"/>
    <w:basedOn w:val="75"/>
    <w:qFormat/>
    <w:uiPriority w:val="0"/>
    <w:pPr>
      <w:framePr w:wrap="around" w:y="15310"/>
      <w:spacing w:line="0" w:lineRule="atLeast"/>
    </w:pPr>
    <w:rPr>
      <w:rFonts w:ascii="黑体" w:eastAsia="黑体"/>
      <w:b w:val="0"/>
    </w:rPr>
  </w:style>
  <w:style w:type="paragraph" w:customStyle="1" w:styleId="113">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4">
    <w:name w:val="三级无"/>
    <w:basedOn w:val="52"/>
    <w:qFormat/>
    <w:uiPriority w:val="0"/>
    <w:pPr>
      <w:spacing w:before="0" w:beforeLines="0" w:after="0" w:afterLines="0"/>
    </w:pPr>
    <w:rPr>
      <w:rFonts w:asciiTheme="minorEastAsia" w:hAnsiTheme="minorEastAsia" w:eastAsiaTheme="minorEastAsia"/>
    </w:rPr>
  </w:style>
  <w:style w:type="paragraph" w:customStyle="1" w:styleId="115">
    <w:name w:val="实施日期"/>
    <w:basedOn w:val="76"/>
    <w:qFormat/>
    <w:uiPriority w:val="0"/>
    <w:pPr>
      <w:framePr w:wrap="around" w:vAnchor="page" w:hAnchor="text"/>
      <w:jc w:val="right"/>
    </w:pPr>
  </w:style>
  <w:style w:type="paragraph" w:customStyle="1" w:styleId="116">
    <w:name w:val="示例后文字"/>
    <w:basedOn w:val="24"/>
    <w:next w:val="24"/>
    <w:qFormat/>
    <w:uiPriority w:val="0"/>
    <w:pPr>
      <w:ind w:firstLine="360"/>
    </w:pPr>
    <w:rPr>
      <w:sz w:val="18"/>
    </w:rPr>
  </w:style>
  <w:style w:type="paragraph" w:customStyle="1" w:styleId="117">
    <w:name w:val="首示例"/>
    <w:next w:val="24"/>
    <w:link w:val="118"/>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18">
    <w:name w:val="首示例 Char"/>
    <w:link w:val="117"/>
    <w:qFormat/>
    <w:uiPriority w:val="0"/>
    <w:rPr>
      <w:rFonts w:ascii="宋体" w:hAnsi="宋体"/>
      <w:kern w:val="2"/>
      <w:sz w:val="18"/>
      <w:szCs w:val="18"/>
    </w:rPr>
  </w:style>
  <w:style w:type="paragraph" w:customStyle="1" w:styleId="119">
    <w:name w:val="四级无"/>
    <w:basedOn w:val="56"/>
    <w:qFormat/>
    <w:uiPriority w:val="0"/>
    <w:pPr>
      <w:spacing w:before="0" w:beforeLines="0" w:after="0" w:afterLines="0"/>
    </w:pPr>
    <w:rPr>
      <w:rFonts w:asciiTheme="minorEastAsia" w:hAnsiTheme="minorEastAsia" w:eastAsiaTheme="minorEastAsia"/>
    </w:rPr>
  </w:style>
  <w:style w:type="paragraph" w:customStyle="1" w:styleId="120">
    <w:name w:val="条文脚注"/>
    <w:basedOn w:val="25"/>
    <w:qFormat/>
    <w:uiPriority w:val="0"/>
    <w:pPr>
      <w:numPr>
        <w:numId w:val="0"/>
      </w:numPr>
      <w:jc w:val="both"/>
    </w:pPr>
  </w:style>
  <w:style w:type="paragraph" w:customStyle="1" w:styleId="121">
    <w:name w:val="图标脚注说明"/>
    <w:basedOn w:val="24"/>
    <w:qFormat/>
    <w:uiPriority w:val="0"/>
    <w:pPr>
      <w:ind w:left="840" w:hanging="420" w:firstLineChars="0"/>
    </w:pPr>
    <w:rPr>
      <w:sz w:val="18"/>
      <w:szCs w:val="18"/>
    </w:rPr>
  </w:style>
  <w:style w:type="paragraph" w:customStyle="1" w:styleId="122">
    <w:name w:val="图表脚注说明"/>
    <w:basedOn w:val="1"/>
    <w:qFormat/>
    <w:uiPriority w:val="0"/>
    <w:pPr>
      <w:numPr>
        <w:ilvl w:val="0"/>
        <w:numId w:val="16"/>
      </w:numPr>
    </w:pPr>
    <w:rPr>
      <w:rFonts w:ascii="宋体"/>
      <w:sz w:val="18"/>
      <w:szCs w:val="18"/>
    </w:rPr>
  </w:style>
  <w:style w:type="paragraph" w:customStyle="1" w:styleId="123">
    <w:name w:val="图的脚注"/>
    <w:next w:val="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4">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5">
    <w:name w:val="五级无"/>
    <w:basedOn w:val="57"/>
    <w:qFormat/>
    <w:uiPriority w:val="0"/>
    <w:pPr>
      <w:spacing w:before="0" w:beforeLines="0" w:after="0" w:afterLines="0"/>
    </w:pPr>
    <w:rPr>
      <w:rFonts w:asciiTheme="minorEastAsia" w:hAnsiTheme="minorEastAsia" w:eastAsiaTheme="minorEastAsia"/>
    </w:rPr>
  </w:style>
  <w:style w:type="paragraph" w:customStyle="1" w:styleId="126">
    <w:name w:val="一级无"/>
    <w:basedOn w:val="43"/>
    <w:qFormat/>
    <w:uiPriority w:val="0"/>
    <w:pPr>
      <w:spacing w:before="0" w:beforeLines="0" w:after="0" w:afterLines="0"/>
    </w:pPr>
    <w:rPr>
      <w:rFonts w:ascii="宋体" w:eastAsia="宋体"/>
    </w:rPr>
  </w:style>
  <w:style w:type="character" w:customStyle="1" w:styleId="127">
    <w:name w:val="已访问的超链接1"/>
    <w:qFormat/>
    <w:uiPriority w:val="0"/>
    <w:rPr>
      <w:color w:val="800080"/>
      <w:u w:val="single"/>
    </w:rPr>
  </w:style>
  <w:style w:type="paragraph" w:customStyle="1" w:styleId="128">
    <w:name w:val="正文表标题"/>
    <w:next w:val="24"/>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29">
    <w:name w:val="正文公式编号制表符"/>
    <w:basedOn w:val="24"/>
    <w:next w:val="24"/>
    <w:qFormat/>
    <w:uiPriority w:val="0"/>
    <w:pPr>
      <w:ind w:firstLine="0" w:firstLineChars="0"/>
    </w:pPr>
  </w:style>
  <w:style w:type="paragraph" w:customStyle="1" w:styleId="130">
    <w:name w:val="正文图标题"/>
    <w:next w:val="24"/>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31">
    <w:name w:val="终结线"/>
    <w:basedOn w:val="1"/>
    <w:qFormat/>
    <w:uiPriority w:val="0"/>
    <w:pPr>
      <w:framePr w:hSpace="181" w:vSpace="181" w:wrap="around" w:vAnchor="text" w:hAnchor="margin" w:xAlign="center" w:y="285"/>
    </w:pPr>
  </w:style>
  <w:style w:type="paragraph" w:customStyle="1" w:styleId="132">
    <w:name w:val="其他发布日期"/>
    <w:basedOn w:val="76"/>
    <w:qFormat/>
    <w:uiPriority w:val="0"/>
    <w:pPr>
      <w:framePr w:wrap="around" w:vAnchor="page" w:hAnchor="text" w:x="1419"/>
    </w:pPr>
  </w:style>
  <w:style w:type="paragraph" w:customStyle="1" w:styleId="133">
    <w:name w:val="其他实施日期"/>
    <w:basedOn w:val="115"/>
    <w:qFormat/>
    <w:uiPriority w:val="0"/>
    <w:pPr>
      <w:framePr w:wrap="around"/>
    </w:pPr>
  </w:style>
  <w:style w:type="paragraph" w:customStyle="1" w:styleId="134">
    <w:name w:val="封面标准名称2"/>
    <w:basedOn w:val="79"/>
    <w:qFormat/>
    <w:uiPriority w:val="0"/>
    <w:pPr>
      <w:framePr w:wrap="around" w:y="4469"/>
      <w:spacing w:beforeLines="630"/>
    </w:pPr>
  </w:style>
  <w:style w:type="paragraph" w:customStyle="1" w:styleId="135">
    <w:name w:val="封面标准英文名称2"/>
    <w:basedOn w:val="80"/>
    <w:qFormat/>
    <w:uiPriority w:val="0"/>
    <w:pPr>
      <w:framePr w:wrap="around" w:y="4469"/>
    </w:pPr>
  </w:style>
  <w:style w:type="paragraph" w:customStyle="1" w:styleId="136">
    <w:name w:val="封面一致性程度标识2"/>
    <w:basedOn w:val="81"/>
    <w:qFormat/>
    <w:uiPriority w:val="0"/>
    <w:pPr>
      <w:framePr w:wrap="around" w:y="4469"/>
    </w:pPr>
  </w:style>
  <w:style w:type="paragraph" w:customStyle="1" w:styleId="137">
    <w:name w:val="封面标准文稿类别2"/>
    <w:basedOn w:val="82"/>
    <w:qFormat/>
    <w:uiPriority w:val="0"/>
    <w:pPr>
      <w:framePr w:wrap="around" w:y="4469"/>
    </w:pPr>
  </w:style>
  <w:style w:type="paragraph" w:customStyle="1" w:styleId="138">
    <w:name w:val="封面标准文稿编辑信息2"/>
    <w:basedOn w:val="83"/>
    <w:qFormat/>
    <w:uiPriority w:val="0"/>
    <w:pPr>
      <w:framePr w:wrap="around" w:y="4469"/>
    </w:pPr>
  </w:style>
  <w:style w:type="paragraph" w:customStyle="1" w:styleId="139">
    <w:name w:val="列出段落1"/>
    <w:basedOn w:val="1"/>
    <w:qFormat/>
    <w:uiPriority w:val="34"/>
    <w:pPr>
      <w:ind w:firstLine="420" w:firstLineChars="200"/>
    </w:pPr>
    <w:rPr>
      <w:rFonts w:ascii="Calibri" w:hAnsi="Calibri"/>
      <w:sz w:val="28"/>
      <w:szCs w:val="22"/>
    </w:rPr>
  </w:style>
  <w:style w:type="character" w:customStyle="1" w:styleId="140">
    <w:name w:val="标题 2 Char"/>
    <w:link w:val="3"/>
    <w:qFormat/>
    <w:uiPriority w:val="9"/>
    <w:rPr>
      <w:rFonts w:ascii="Cambria" w:hAnsi="Cambria" w:eastAsia="宋体" w:cs="Times New Roman"/>
      <w:b/>
      <w:bCs/>
      <w:kern w:val="2"/>
      <w:sz w:val="32"/>
      <w:szCs w:val="32"/>
    </w:rPr>
  </w:style>
  <w:style w:type="character" w:customStyle="1" w:styleId="141">
    <w:name w:val="标题 3 Char"/>
    <w:link w:val="4"/>
    <w:qFormat/>
    <w:uiPriority w:val="9"/>
    <w:rPr>
      <w:rFonts w:ascii="Calibri" w:hAnsi="Calibri" w:eastAsia="宋体" w:cs="Times New Roman"/>
      <w:b/>
      <w:bCs/>
      <w:kern w:val="2"/>
      <w:sz w:val="32"/>
      <w:szCs w:val="32"/>
    </w:rPr>
  </w:style>
  <w:style w:type="character" w:customStyle="1" w:styleId="142">
    <w:name w:val="批注框文本 Char"/>
    <w:link w:val="17"/>
    <w:qFormat/>
    <w:uiPriority w:val="0"/>
    <w:rPr>
      <w:kern w:val="2"/>
      <w:sz w:val="18"/>
      <w:szCs w:val="18"/>
    </w:rPr>
  </w:style>
  <w:style w:type="character" w:customStyle="1" w:styleId="143">
    <w:name w:val="标题 1 Char"/>
    <w:link w:val="2"/>
    <w:qFormat/>
    <w:uiPriority w:val="0"/>
    <w:rPr>
      <w:b/>
      <w:bCs/>
      <w:kern w:val="44"/>
      <w:sz w:val="44"/>
      <w:szCs w:val="44"/>
    </w:rPr>
  </w:style>
  <w:style w:type="paragraph" w:customStyle="1" w:styleId="144">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5">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46">
    <w:name w:val="标题 Char"/>
    <w:basedOn w:val="36"/>
    <w:link w:val="33"/>
    <w:qFormat/>
    <w:uiPriority w:val="0"/>
    <w:rPr>
      <w:rFonts w:asciiTheme="majorHAnsi" w:hAnsiTheme="majorHAnsi" w:eastAsiaTheme="majorEastAsia" w:cstheme="majorBidi"/>
      <w:b/>
      <w:bCs/>
      <w:kern w:val="2"/>
      <w:sz w:val="32"/>
      <w:szCs w:val="32"/>
    </w:rPr>
  </w:style>
  <w:style w:type="character" w:customStyle="1" w:styleId="147">
    <w:name w:val="二级条标题 Char"/>
    <w:link w:val="47"/>
    <w:qFormat/>
    <w:uiPriority w:val="0"/>
  </w:style>
  <w:style w:type="character" w:customStyle="1" w:styleId="148">
    <w:name w:val="页脚 Char"/>
    <w:basedOn w:val="36"/>
    <w:link w:val="18"/>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33258;&#23450;&#20041;%20Office%20&#27169;&#26495;\&#27827;&#21271;&#30465;&#22320;&#26041;&#26631;&#20934;&#65288;&#24066;&#22330;&#30417;&#31649;&#23616;%202020&#29256;&#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AC0AA2-7731-49B7-86FA-8ADEA6FD3558}">
  <ds:schemaRefs/>
</ds:datastoreItem>
</file>

<file path=docProps/app.xml><?xml version="1.0" encoding="utf-8"?>
<Properties xmlns="http://schemas.openxmlformats.org/officeDocument/2006/extended-properties" xmlns:vt="http://schemas.openxmlformats.org/officeDocument/2006/docPropsVTypes">
  <Template>河北省地方标准（市场监管局 2020版）.dotx</Template>
  <Company>zle</Company>
  <Pages>11</Pages>
  <Words>6065</Words>
  <Characters>6749</Characters>
  <Lines>60</Lines>
  <Paragraphs>17</Paragraphs>
  <TotalTime>0</TotalTime>
  <ScaleCrop>false</ScaleCrop>
  <LinksUpToDate>false</LinksUpToDate>
  <CharactersWithSpaces>7809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2022-01-06T03:08:00Z</dcterms:created>
  <dc:creator>路源</dc:creator>
  <cp:lastModifiedBy>Administrator</cp:lastModifiedBy>
  <cp:lastPrinted>2017-03-02T02:34:00Z</cp:lastPrinted>
  <dcterms:modified xsi:type="dcterms:W3CDTF">2022-05-17T06:03:02Z</dcterms:modified>
  <dc:title>标准名称</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1C517B7536FD43ADAA53F7EF86752894</vt:lpwstr>
  </property>
</Properties>
</file>