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5"/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7" w:h="16839"/>
          <w:pgMar w:top="567" w:right="851" w:bottom="1361" w:left="1418" w:header="0" w:footer="0" w:gutter="0"/>
          <w:pgNumType w:start="1"/>
          <w:cols w:space="425" w:num="1"/>
          <w:titlePg/>
          <w:docGrid w:type="lines" w:linePitch="312" w:charSpace="0"/>
        </w:sectPr>
      </w:pPr>
      <w:bookmarkStart w:id="0" w:name="SectionMark0"/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margin">
                  <wp:posOffset>-66675</wp:posOffset>
                </wp:positionH>
                <wp:positionV relativeFrom="margin">
                  <wp:posOffset>8477250</wp:posOffset>
                </wp:positionV>
                <wp:extent cx="6120130" cy="834390"/>
                <wp:effectExtent l="0" t="0" r="0" b="0"/>
                <wp:wrapNone/>
                <wp:docPr id="11" name="fmFram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834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2"/>
                              <w:ind w:firstLine="2124" w:firstLineChars="450"/>
                              <w:jc w:val="both"/>
                              <w:rPr>
                                <w:spacing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河北省市场监督管理局</w:t>
                            </w:r>
                            <w:r>
                              <w:rPr>
                                <w:rFonts w:hint="eastAsia"/>
                                <w:spacing w:val="5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pacing w:val="0"/>
                                <w:sz w:val="32"/>
                                <w:szCs w:val="32"/>
                              </w:rPr>
                              <w:t>发 布</w:t>
                            </w:r>
                          </w:p>
                          <w:p>
                            <w:pPr>
                              <w:pStyle w:val="132"/>
                              <w:ind w:firstLine="1944" w:firstLineChars="450"/>
                              <w:jc w:val="both"/>
                              <w:rPr>
                                <w:spacing w:val="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7" o:spid="_x0000_s1026" o:spt="202" type="#_x0000_t202" style="position:absolute;left:0pt;margin-left:-5.25pt;margin-top:667.5pt;height:65.7pt;width:481.9pt;mso-position-horizontal-relative:margin;mso-position-vertical-relative:margin;z-index:251667456;mso-width-relative:page;mso-height-relative:page;" fillcolor="#FFFFFF" filled="t" stroked="f" coordsize="21600,21600" o:gfxdata="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bNR8Y2wAAAA0BAAAPAAAAAAAA&#10;AAEAIAAAACIAAABkcnMvZG93bnJldi54bWxQSwECFAAUAAAACACHTuJA8+G9LQ8CAAAsBAAADgAA&#10;AAAAAAABACAAAAAqAQAAZHJzL2Uyb0RvYy54bWxQSwUGAAAAAAYABgBZAQAAq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2"/>
                        <w:ind w:firstLine="2124" w:firstLineChars="450"/>
                        <w:jc w:val="both"/>
                        <w:rPr>
                          <w:spacing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河北省市场监督管理局</w:t>
                      </w:r>
                      <w:r>
                        <w:rPr>
                          <w:rFonts w:hint="eastAsia"/>
                          <w:spacing w:val="50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/>
                          <w:spacing w:val="0"/>
                          <w:sz w:val="32"/>
                          <w:szCs w:val="32"/>
                        </w:rPr>
                        <w:t>发 布</w:t>
                      </w:r>
                    </w:p>
                    <w:p>
                      <w:pPr>
                        <w:pStyle w:val="132"/>
                        <w:ind w:firstLine="1944" w:firstLineChars="450"/>
                        <w:jc w:val="both"/>
                        <w:rPr>
                          <w:spacing w:val="0"/>
                          <w:sz w:val="32"/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8465185</wp:posOffset>
                </wp:positionV>
                <wp:extent cx="6121400" cy="0"/>
                <wp:effectExtent l="14605" t="14605" r="7620" b="13970"/>
                <wp:wrapNone/>
                <wp:docPr id="10" name="Lin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1" o:spid="_x0000_s1026" o:spt="20" style="position:absolute;left:0pt;margin-left:0pt;margin-top:666.55pt;height:0pt;width:482pt;z-index:251666432;mso-width-relative:page;mso-height-relative:page;" filled="f" stroked="t" coordsize="21600,21600" o:gfxdata="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4tX6jXAAAACgEAAA8AAAAAAAAAAQAgAAAAIgAAAGRycy9k&#10;b3ducmV2LnhtbFBLAQIUABQAAAAIAIdO4kCyu4SUygEAAKIDAAAOAAAAAAAAAAEAIAAAACYBAABk&#10;cnMvZTJvRG9jLnhtbFBLBQYAAAAABgAGAFkBAABiBQAAAAA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14605" t="13970" r="7620" b="14605"/>
                <wp:wrapNone/>
                <wp:docPr id="9" name="Lin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8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0" o:spid="_x0000_s1026" o:spt="20" style="position:absolute;left:0pt;margin-left:0pt;margin-top:179pt;height:0pt;width:482pt;z-index:251665408;mso-width-relative:page;mso-height-relative:page;" filled="f" stroked="t" coordsize="21600,21600" o:gfxdata="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O54MdYAAAAIAQAADwAAAAAAAAABACAAAAAiAAAAZHJzL2Rv&#10;d25yZXYueG1sUEsBAhQAFAAAAAgAh07iQP2dZi7KAQAAoQMAAA4AAAAAAAAAAQAgAAAAJQEAAGRy&#10;cy9lMm9Eb2MueG1sUEsFBgAAAAAGAAYAWQEAAGEFAAAAAA==&#10;">
                <v:fill on="f" focussize="0,0"/>
                <v:stroke weight="1pt" color="#08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4000500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8" name="fmFram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4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  <w:r>
                              <w:rPr>
                                <w:rFonts w:hint="eastAsia"/>
                              </w:rPr>
                              <w:t>-××-××实施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6" o:spid="_x0000_s1026" o:spt="202" type="#_x0000_t202" style="position:absolute;left:0pt;margin-left:315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1dmztoAAAANAQAADwAAAAAAAAAB&#10;ACAAAAAiAAAAZHJzL2Rvd25yZXYueG1sUEsBAhQAFAAAAAgAh07iQDLOYOEOAgAAKwQAAA4AAAAA&#10;AAAAAQAgAAAAKQ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4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  <w:r>
                        <w:rPr>
                          <w:rFonts w:hint="eastAsia"/>
                        </w:rPr>
                        <w:t>-××-××实施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8122920</wp:posOffset>
                </wp:positionV>
                <wp:extent cx="2019300" cy="312420"/>
                <wp:effectExtent l="0" t="0" r="4445" b="0"/>
                <wp:wrapNone/>
                <wp:docPr id="7" name="fmFram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6"/>
                            </w:pP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  <w:r>
                              <w:rPr>
                                <w:rFonts w:hint="eastAsia"/>
                              </w:rPr>
                              <w:t>-××-××发布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5" o:spid="_x0000_s1026" o:spt="202" type="#_x0000_t202" style="position:absolute;left:0pt;margin-left:0pt;margin-top:639.6pt;height:24.6pt;width:159pt;mso-position-horizontal-relative:margin;mso-position-vertical-relative:margin;z-index:251664384;mso-width-relative:page;mso-height-relative:page;" fillcolor="#FFFFFF" filled="t" stroked="f" coordsize="21600,21600" o:gfxdata="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cL4p3YAAAACgEAAA8AAAAAAAAAAQAg&#10;AAAAIgAAAGRycy9kb3ducmV2LnhtbFBLAQIUABQAAAAIAIdO4kBwRvrSDgIAACsEAAAOAAAAAAAA&#10;AAEAIAAAACcBAABkcnMvZTJvRG9jLnhtbFBLBQYAAAAABgAGAFkBAACn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6"/>
                      </w:pP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  <w:r>
                        <w:rPr>
                          <w:rFonts w:hint="eastAsia"/>
                        </w:rPr>
                        <w:t>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-66675</wp:posOffset>
                </wp:positionH>
                <wp:positionV relativeFrom="margin">
                  <wp:posOffset>2773680</wp:posOffset>
                </wp:positionV>
                <wp:extent cx="6186805" cy="1734820"/>
                <wp:effectExtent l="0" t="0" r="0" b="0"/>
                <wp:wrapNone/>
                <wp:docPr id="6" name="fmFram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6805" cy="173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0"/>
                              <w:rPr>
                                <w:spacing w:val="4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节水型医院</w:t>
                            </w:r>
                            <w:r>
                              <w:rPr>
                                <w:b/>
                                <w:spacing w:val="40"/>
                                <w:szCs w:val="52"/>
                              </w:rPr>
                              <w:t>评价</w:t>
                            </w:r>
                            <w:r>
                              <w:rPr>
                                <w:rFonts w:hint="eastAsia"/>
                                <w:b/>
                                <w:spacing w:val="40"/>
                                <w:szCs w:val="52"/>
                              </w:rPr>
                              <w:t>导则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Evaluating guide for water-saving hospitals</w:t>
                            </w:r>
                          </w:p>
                          <w:p>
                            <w:pPr>
                              <w:pStyle w:val="46"/>
                              <w:snapToGrid w:val="0"/>
                              <w:spacing w:before="312" w:beforeLines="100" w:line="240" w:lineRule="auto"/>
                              <w:ind w:firstLine="0"/>
                              <w:jc w:val="center"/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</w:pP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（征求</w:t>
                            </w:r>
                            <w:r>
                              <w:rPr>
                                <w:rFonts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意见稿</w:t>
                            </w:r>
                            <w:r>
                              <w:rPr>
                                <w:rFonts w:hint="eastAsia" w:eastAsia="华文仿宋"/>
                                <w:b/>
                                <w:color w:val="auto"/>
                                <w:sz w:val="32"/>
                                <w:szCs w:val="32"/>
                                <w:lang w:val="en-GB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4" o:spid="_x0000_s1026" o:spt="202" type="#_x0000_t202" style="position:absolute;left:0pt;margin-left:-5.25pt;margin-top:218.4pt;height:136.6pt;width:487.15pt;mso-position-horizontal-relative:margin;mso-position-vertical-relative:margin;z-index:251663360;mso-width-relative:page;mso-height-relative:page;" fillcolor="#FFFFFF" filled="t" stroked="f" coordsize="21600,21600" o:gfxdata="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od4qNoAAAALAQAADwAAAAAA&#10;AAABACAAAAAiAAAAZHJzL2Rvd25yZXYueG1sUEsBAhQAFAAAAAgAh07iQDEvL5MRAgAALAQAAA4A&#10;AAAAAAAAAQAgAAAAKQEAAGRycy9lMm9Eb2MueG1sUEsFBgAAAAAGAAYAWQEAAKw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10"/>
                        <w:rPr>
                          <w:spacing w:val="40"/>
                        </w:rPr>
                      </w:pP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节水型医院</w:t>
                      </w:r>
                      <w:r>
                        <w:rPr>
                          <w:b/>
                          <w:spacing w:val="40"/>
                          <w:szCs w:val="52"/>
                        </w:rPr>
                        <w:t>评价</w:t>
                      </w:r>
                      <w:r>
                        <w:rPr>
                          <w:rFonts w:hint="eastAsia"/>
                          <w:b/>
                          <w:spacing w:val="40"/>
                          <w:szCs w:val="52"/>
                        </w:rPr>
                        <w:t>导则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Evaluating guide for water-saving hospitals</w:t>
                      </w:r>
                    </w:p>
                    <w:p>
                      <w:pPr>
                        <w:pStyle w:val="46"/>
                        <w:snapToGrid w:val="0"/>
                        <w:spacing w:before="312" w:beforeLines="100" w:line="240" w:lineRule="auto"/>
                        <w:ind w:firstLine="0"/>
                        <w:jc w:val="center"/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</w:pP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（征求</w:t>
                      </w:r>
                      <w:r>
                        <w:rPr>
                          <w:rFonts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意见稿</w:t>
                      </w:r>
                      <w:r>
                        <w:rPr>
                          <w:rFonts w:hint="eastAsia" w:eastAsia="华文仿宋"/>
                          <w:b/>
                          <w:color w:val="auto"/>
                          <w:sz w:val="32"/>
                          <w:szCs w:val="32"/>
                          <w:lang w:val="en-GB"/>
                        </w:rPr>
                        <w:t>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0" r="2540" b="0"/>
                <wp:wrapNone/>
                <wp:docPr id="5" name="fmFram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7"/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13</w:t>
                            </w:r>
                            <w:r>
                              <w:rPr>
                                <w:rFonts w:ascii="黑体"/>
                              </w:rPr>
                              <w:t>/</w:t>
                            </w:r>
                            <w:r>
                              <w:t xml:space="preserve">T 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×××</w:t>
                            </w:r>
                            <w:r>
                              <w:t>—</w:t>
                            </w:r>
                            <w:r>
                              <w:rPr>
                                <w:rFonts w:hint="eastAsia"/>
                              </w:rPr>
                              <w:t>20</w:t>
                            </w:r>
                            <w:r>
                              <w:t>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3" o:spid="_x0000_s1026" o:spt="202" type="#_x0000_t202" style="position:absolute;left:0pt;margin-left:0pt;margin-top:110.35pt;height:67.75pt;width:456.9pt;mso-position-horizontal-relative:margin;mso-position-vertical-relative:margin;z-index:251662336;mso-width-relative:page;mso-height-relative:page;" fillcolor="#FFFFFF" filled="t" stroked="f" coordsize="21600,21600" o:gfxdata="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QGk+9gAAAAIAQAADwAAAAAAAAAB&#10;ACAAAAAiAAAAZHJzL2Rvd25yZXYueG1sUEsBAhQAFAAAAAgAh07iQCLHNgYQAgAAKwQAAA4AAAAA&#10;AAAAAQAgAAAAJwEAAGRycy9lMm9Eb2MueG1sUEsFBgAAAAAGAAYAWQEAAKk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07"/>
                      </w:pPr>
                      <w:r>
                        <w:t>DB</w:t>
                      </w:r>
                      <w:r>
                        <w:rPr>
                          <w:rFonts w:hint="eastAsia"/>
                          <w:szCs w:val="24"/>
                        </w:rPr>
                        <w:t>13</w:t>
                      </w:r>
                      <w:r>
                        <w:rPr>
                          <w:rFonts w:ascii="黑体"/>
                        </w:rPr>
                        <w:t>/</w:t>
                      </w:r>
                      <w:r>
                        <w:t xml:space="preserve">T 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×××</w:t>
                      </w:r>
                      <w:r>
                        <w:t>—</w:t>
                      </w:r>
                      <w:r>
                        <w:rPr>
                          <w:rFonts w:hint="eastAsia"/>
                        </w:rPr>
                        <w:t>20</w:t>
                      </w:r>
                      <w:r>
                        <w:t>22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2549525</wp:posOffset>
                </wp:positionH>
                <wp:positionV relativeFrom="margin">
                  <wp:posOffset>107315</wp:posOffset>
                </wp:positionV>
                <wp:extent cx="3175000" cy="720090"/>
                <wp:effectExtent l="1905" t="635" r="4445" b="3175"/>
                <wp:wrapNone/>
                <wp:docPr id="4" name="fmFram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91"/>
                            </w:pPr>
                            <w:r>
                              <w:t>DB13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8" o:spid="_x0000_s1026" o:spt="202" type="#_x0000_t202" style="position:absolute;left:0pt;margin-left:200.75pt;margin-top:8.45pt;height:56.7pt;width:250pt;mso-position-horizontal-relative:margin;mso-position-vertical-relative:margin;z-index:251661312;mso-width-relative:page;mso-height-relative:page;" fillcolor="#FFFFFF" filled="t" stroked="f" coordsize="21600,21600" o:gfxdata="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JWTs82AAAAAoBAAAPAAAAAAAAAAEA&#10;IAAAACIAAABkcnMvZG93bnJldi54bWxQSwECFAAUAAAACACHTuJAC7ew/g8CAAArBAAADgAAAAAA&#10;AAABACAAAAAnAQAAZHJzL2Uyb0RvYy54bWxQSwUGAAAAAAYABgBZAQAAq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91"/>
                      </w:pPr>
                      <w:r>
                        <w:t>DB13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0" b="0"/>
                <wp:wrapNone/>
                <wp:docPr id="3" name="fmFram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31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2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color="#FFFFFF" filled="t" stroked="f" coordsize="21600,21600" o:gfxdata="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Rg5HBdcAAAAIAQAADwAAAAAAAAABACAA&#10;AAAiAAAAZHJzL2Rvd25yZXYueG1sUEsBAhQAFAAAAAgAh07iQL1ajLsOAgAAKwQAAA4AAAAAAAAA&#10;AQAgAAAAJgEAAGRycy9lMm9Eb2MueG1sUEsFBgAAAAAGAAYAWQEAAKY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31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0" b="1270"/>
                <wp:wrapNone/>
                <wp:docPr id="2" name="fmFram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0"/>
                            </w:pPr>
                            <w:r>
                              <w:t>ICS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×××</w:t>
                            </w:r>
                            <w:r>
                              <w:rPr>
                                <w:rFonts w:ascii="黑体"/>
                              </w:rPr>
                              <w:t>.</w:t>
                            </w:r>
                            <w:r>
                              <w:rPr>
                                <w:rFonts w:hint="eastAsia" w:ascii="黑体" w:hAnsi="黑体"/>
                              </w:rPr>
                              <w:t>××</w:t>
                            </w:r>
                          </w:p>
                          <w:p>
                            <w:pPr>
                              <w:pStyle w:val="140"/>
                            </w:pPr>
                            <w:r>
                              <w:rPr>
                                <w:rFonts w:hint="eastAsia"/>
                              </w:rPr>
                              <w:t xml:space="preserve">R </w:t>
                            </w:r>
                            <w:r>
                              <w:rPr>
                                <w:rFonts w:ascii="黑体"/>
                              </w:rPr>
                              <w:t>0</w:t>
                            </w:r>
                            <w:r>
                              <w:rPr>
                                <w:rFonts w:hint="eastAsia" w:ascii="黑体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mFrame1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zL4NMAAAAFAQAADwAAAAAAAAABACAAAAAi&#10;AAAAZHJzL2Rvd25yZXYueG1sUEsBAhQAFAAAAAgAh07iQAnRnG8PAgAAKwQAAA4AAAAAAAAAAQAg&#10;AAAAIgEAAGRycy9lMm9Eb2MueG1sUEsFBgAAAAAGAAYAWQEAAKM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40"/>
                      </w:pPr>
                      <w:r>
                        <w:t>ICS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×××</w:t>
                      </w:r>
                      <w:r>
                        <w:rPr>
                          <w:rFonts w:ascii="黑体"/>
                        </w:rPr>
                        <w:t>.</w:t>
                      </w:r>
                      <w:r>
                        <w:rPr>
                          <w:rFonts w:hint="eastAsia" w:ascii="黑体" w:hAnsi="黑体"/>
                        </w:rPr>
                        <w:t>××</w:t>
                      </w:r>
                    </w:p>
                    <w:p>
                      <w:pPr>
                        <w:pStyle w:val="140"/>
                      </w:pPr>
                      <w:r>
                        <w:rPr>
                          <w:rFonts w:hint="eastAsia"/>
                        </w:rPr>
                        <w:t xml:space="preserve">R </w:t>
                      </w:r>
                      <w:r>
                        <w:rPr>
                          <w:rFonts w:ascii="黑体"/>
                        </w:rPr>
                        <w:t>0</w:t>
                      </w:r>
                      <w:r>
                        <w:rPr>
                          <w:rFonts w:hint="eastAsia" w:ascii="黑体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29"/>
        <w:spacing w:line="420" w:lineRule="exact"/>
        <w:rPr>
          <w:rFonts w:ascii="Times New Roman" w:eastAsia="宋体"/>
        </w:rPr>
      </w:pPr>
      <w:bookmarkStart w:id="1" w:name="SectionMark1"/>
      <w:r>
        <w:rPr>
          <w:rFonts w:ascii="Times New Roman"/>
        </w:rPr>
        <w:t>目    次</w:t>
      </w:r>
    </w:p>
    <w:p>
      <w:pPr>
        <w:pStyle w:val="18"/>
        <w:rPr>
          <w:rStyle w:val="83"/>
        </w:rPr>
      </w:pPr>
      <w:r>
        <w:rPr>
          <w:rStyle w:val="83"/>
        </w:rPr>
        <w:fldChar w:fldCharType="begin"/>
      </w:r>
      <w:r>
        <w:rPr>
          <w:rStyle w:val="83"/>
        </w:rPr>
        <w:instrText xml:space="preserve"> TOC \f \h \z \t "标题 1,1" </w:instrText>
      </w:r>
      <w:r>
        <w:rPr>
          <w:rStyle w:val="83"/>
        </w:rPr>
        <w:fldChar w:fldCharType="separate"/>
      </w:r>
      <w:r>
        <w:fldChar w:fldCharType="begin"/>
      </w:r>
      <w:r>
        <w:instrText xml:space="preserve"> HYPERLINK \l "_Toc89332925" </w:instrText>
      </w:r>
      <w:r>
        <w:fldChar w:fldCharType="separate"/>
      </w:r>
      <w:r>
        <w:rPr>
          <w:rStyle w:val="83"/>
          <w:rFonts w:hint="eastAsia"/>
        </w:rPr>
        <w:t>前</w:t>
      </w:r>
      <w:r>
        <w:rPr>
          <w:rStyle w:val="83"/>
        </w:rPr>
        <w:t xml:space="preserve">    </w:t>
      </w:r>
      <w:r>
        <w:rPr>
          <w:rStyle w:val="83"/>
          <w:rFonts w:hint="eastAsia"/>
        </w:rPr>
        <w:t>言</w:t>
      </w:r>
      <w:r>
        <w:rPr>
          <w:rStyle w:val="83"/>
        </w:rPr>
        <w:tab/>
      </w:r>
      <w:r>
        <w:rPr>
          <w:rStyle w:val="83"/>
        </w:rPr>
        <w:fldChar w:fldCharType="begin"/>
      </w:r>
      <w:r>
        <w:rPr>
          <w:rStyle w:val="83"/>
        </w:rPr>
        <w:instrText xml:space="preserve"> PAGEREF _Toc89332925 \h </w:instrText>
      </w:r>
      <w:r>
        <w:rPr>
          <w:rStyle w:val="83"/>
        </w:rPr>
        <w:fldChar w:fldCharType="separate"/>
      </w:r>
      <w:r>
        <w:rPr>
          <w:rStyle w:val="83"/>
        </w:rPr>
        <w:t>II</w:t>
      </w:r>
      <w:r>
        <w:rPr>
          <w:rStyle w:val="83"/>
        </w:rPr>
        <w:fldChar w:fldCharType="end"/>
      </w:r>
      <w:r>
        <w:rPr>
          <w:rStyle w:val="83"/>
        </w:rPr>
        <w:fldChar w:fldCharType="end"/>
      </w:r>
    </w:p>
    <w:p>
      <w:pPr>
        <w:pStyle w:val="18"/>
        <w:rPr>
          <w:rStyle w:val="83"/>
        </w:rPr>
      </w:pPr>
      <w:r>
        <w:fldChar w:fldCharType="begin"/>
      </w:r>
      <w:r>
        <w:instrText xml:space="preserve"> HYPERLINK \l "_Toc89332926" </w:instrText>
      </w:r>
      <w:r>
        <w:fldChar w:fldCharType="separate"/>
      </w:r>
      <w:r>
        <w:rPr>
          <w:rStyle w:val="83"/>
        </w:rPr>
        <w:t xml:space="preserve">1  </w:t>
      </w:r>
      <w:r>
        <w:rPr>
          <w:rStyle w:val="83"/>
          <w:rFonts w:hint="eastAsia"/>
        </w:rPr>
        <w:t>范围</w:t>
      </w:r>
      <w:r>
        <w:rPr>
          <w:rStyle w:val="83"/>
        </w:rPr>
        <w:tab/>
      </w:r>
      <w:r>
        <w:rPr>
          <w:rStyle w:val="83"/>
        </w:rPr>
        <w:fldChar w:fldCharType="begin"/>
      </w:r>
      <w:r>
        <w:rPr>
          <w:rStyle w:val="83"/>
        </w:rPr>
        <w:instrText xml:space="preserve"> PAGEREF _Toc89332926 \h </w:instrText>
      </w:r>
      <w:r>
        <w:rPr>
          <w:rStyle w:val="83"/>
        </w:rPr>
        <w:fldChar w:fldCharType="separate"/>
      </w:r>
      <w:r>
        <w:rPr>
          <w:rStyle w:val="83"/>
        </w:rPr>
        <w:t>1</w:t>
      </w:r>
      <w:r>
        <w:rPr>
          <w:rStyle w:val="83"/>
        </w:rPr>
        <w:fldChar w:fldCharType="end"/>
      </w:r>
      <w:r>
        <w:rPr>
          <w:rStyle w:val="83"/>
        </w:rPr>
        <w:fldChar w:fldCharType="end"/>
      </w:r>
    </w:p>
    <w:p>
      <w:pPr>
        <w:pStyle w:val="18"/>
        <w:rPr>
          <w:rStyle w:val="83"/>
        </w:rPr>
      </w:pPr>
      <w:r>
        <w:fldChar w:fldCharType="begin"/>
      </w:r>
      <w:r>
        <w:instrText xml:space="preserve"> HYPERLINK \l "_Toc89332927" </w:instrText>
      </w:r>
      <w:r>
        <w:fldChar w:fldCharType="separate"/>
      </w:r>
      <w:r>
        <w:rPr>
          <w:rStyle w:val="83"/>
        </w:rPr>
        <w:t xml:space="preserve">2  </w:t>
      </w:r>
      <w:r>
        <w:rPr>
          <w:rStyle w:val="83"/>
          <w:rFonts w:hint="eastAsia"/>
        </w:rPr>
        <w:t>规范性引用文件</w:t>
      </w:r>
      <w:r>
        <w:rPr>
          <w:rStyle w:val="83"/>
        </w:rPr>
        <w:tab/>
      </w:r>
      <w:r>
        <w:rPr>
          <w:rStyle w:val="83"/>
        </w:rPr>
        <w:fldChar w:fldCharType="begin"/>
      </w:r>
      <w:r>
        <w:rPr>
          <w:rStyle w:val="83"/>
        </w:rPr>
        <w:instrText xml:space="preserve"> PAGEREF _Toc89332927 \h </w:instrText>
      </w:r>
      <w:r>
        <w:rPr>
          <w:rStyle w:val="83"/>
        </w:rPr>
        <w:fldChar w:fldCharType="separate"/>
      </w:r>
      <w:r>
        <w:rPr>
          <w:rStyle w:val="83"/>
        </w:rPr>
        <w:t>1</w:t>
      </w:r>
      <w:r>
        <w:rPr>
          <w:rStyle w:val="83"/>
        </w:rPr>
        <w:fldChar w:fldCharType="end"/>
      </w:r>
      <w:r>
        <w:rPr>
          <w:rStyle w:val="83"/>
        </w:rPr>
        <w:fldChar w:fldCharType="end"/>
      </w:r>
    </w:p>
    <w:p>
      <w:pPr>
        <w:pStyle w:val="18"/>
        <w:rPr>
          <w:rStyle w:val="83"/>
        </w:rPr>
      </w:pPr>
      <w:r>
        <w:fldChar w:fldCharType="begin"/>
      </w:r>
      <w:r>
        <w:instrText xml:space="preserve"> HYPERLINK \l "_Toc89332928" </w:instrText>
      </w:r>
      <w:r>
        <w:fldChar w:fldCharType="separate"/>
      </w:r>
      <w:r>
        <w:rPr>
          <w:rStyle w:val="83"/>
        </w:rPr>
        <w:t xml:space="preserve">3  </w:t>
      </w:r>
      <w:r>
        <w:rPr>
          <w:rStyle w:val="83"/>
          <w:rFonts w:hint="eastAsia"/>
        </w:rPr>
        <w:t>术语和定义</w:t>
      </w:r>
      <w:r>
        <w:rPr>
          <w:rStyle w:val="83"/>
        </w:rPr>
        <w:tab/>
      </w:r>
      <w:r>
        <w:rPr>
          <w:rStyle w:val="83"/>
        </w:rPr>
        <w:fldChar w:fldCharType="begin"/>
      </w:r>
      <w:r>
        <w:rPr>
          <w:rStyle w:val="83"/>
        </w:rPr>
        <w:instrText xml:space="preserve"> PAGEREF _Toc89332928 \h </w:instrText>
      </w:r>
      <w:r>
        <w:rPr>
          <w:rStyle w:val="83"/>
        </w:rPr>
        <w:fldChar w:fldCharType="separate"/>
      </w:r>
      <w:r>
        <w:rPr>
          <w:rStyle w:val="83"/>
        </w:rPr>
        <w:t>1</w:t>
      </w:r>
      <w:r>
        <w:rPr>
          <w:rStyle w:val="83"/>
        </w:rPr>
        <w:fldChar w:fldCharType="end"/>
      </w:r>
      <w:r>
        <w:rPr>
          <w:rStyle w:val="83"/>
        </w:rPr>
        <w:fldChar w:fldCharType="end"/>
      </w:r>
    </w:p>
    <w:p>
      <w:pPr>
        <w:pStyle w:val="18"/>
        <w:rPr>
          <w:rStyle w:val="83"/>
        </w:rPr>
      </w:pPr>
      <w:r>
        <w:fldChar w:fldCharType="begin"/>
      </w:r>
      <w:r>
        <w:instrText xml:space="preserve"> HYPERLINK \l "_Toc89332929" </w:instrText>
      </w:r>
      <w:r>
        <w:fldChar w:fldCharType="separate"/>
      </w:r>
      <w:r>
        <w:rPr>
          <w:rStyle w:val="83"/>
        </w:rPr>
        <w:t xml:space="preserve">4  </w:t>
      </w:r>
      <w:r>
        <w:rPr>
          <w:rStyle w:val="83"/>
          <w:rFonts w:hint="eastAsia"/>
        </w:rPr>
        <w:t>评价指标及评价内容</w:t>
      </w:r>
      <w:r>
        <w:rPr>
          <w:rStyle w:val="83"/>
        </w:rPr>
        <w:tab/>
      </w:r>
      <w:r>
        <w:rPr>
          <w:rStyle w:val="83"/>
        </w:rPr>
        <w:fldChar w:fldCharType="begin"/>
      </w:r>
      <w:r>
        <w:rPr>
          <w:rStyle w:val="83"/>
        </w:rPr>
        <w:instrText xml:space="preserve"> PAGEREF _Toc89332929 \h </w:instrText>
      </w:r>
      <w:r>
        <w:rPr>
          <w:rStyle w:val="83"/>
        </w:rPr>
        <w:fldChar w:fldCharType="separate"/>
      </w:r>
      <w:r>
        <w:rPr>
          <w:rStyle w:val="83"/>
        </w:rPr>
        <w:t>1</w:t>
      </w:r>
      <w:r>
        <w:rPr>
          <w:rStyle w:val="83"/>
        </w:rPr>
        <w:fldChar w:fldCharType="end"/>
      </w:r>
      <w:r>
        <w:rPr>
          <w:rStyle w:val="83"/>
        </w:rPr>
        <w:fldChar w:fldCharType="end"/>
      </w:r>
    </w:p>
    <w:p>
      <w:pPr>
        <w:pStyle w:val="18"/>
        <w:rPr>
          <w:rStyle w:val="83"/>
        </w:rPr>
      </w:pPr>
      <w:r>
        <w:rPr>
          <w:rStyle w:val="83"/>
        </w:rPr>
        <w:fldChar w:fldCharType="end"/>
      </w:r>
      <w:r>
        <w:rPr>
          <w:rStyle w:val="83"/>
          <w:rFonts w:hint="eastAsia"/>
        </w:rPr>
        <w:t>附</w:t>
      </w:r>
      <w:r>
        <w:rPr>
          <w:rStyle w:val="83"/>
        </w:rPr>
        <w:t xml:space="preserve"> </w:t>
      </w:r>
      <w:r>
        <w:rPr>
          <w:rStyle w:val="83"/>
          <w:rFonts w:hint="eastAsia"/>
        </w:rPr>
        <w:t>录</w:t>
      </w:r>
      <w:r>
        <w:rPr>
          <w:rStyle w:val="83"/>
        </w:rPr>
        <w:t xml:space="preserve"> A</w:t>
      </w:r>
      <w:r>
        <w:rPr>
          <w:rStyle w:val="83"/>
          <w:rFonts w:hint="eastAsia"/>
        </w:rPr>
        <w:t>（规范性附录）节水型</w:t>
      </w:r>
      <w:r>
        <w:rPr>
          <w:rStyle w:val="83"/>
        </w:rPr>
        <w:t>医院评价</w:t>
      </w:r>
      <w:r>
        <w:rPr>
          <w:rStyle w:val="83"/>
          <w:rFonts w:hint="eastAsia"/>
        </w:rPr>
        <w:t>标准</w:t>
      </w:r>
      <w:r>
        <w:rPr>
          <w:rStyle w:val="83"/>
        </w:rPr>
        <w:t>…………………………………………………………………4</w:t>
      </w:r>
    </w:p>
    <w:p>
      <w:pPr>
        <w:pStyle w:val="18"/>
        <w:rPr>
          <w:rStyle w:val="83"/>
        </w:rPr>
      </w:pPr>
      <w:r>
        <w:rPr>
          <w:rStyle w:val="83"/>
        </w:rPr>
        <w:t>附 录 B（</w:t>
      </w:r>
      <w:r>
        <w:rPr>
          <w:rStyle w:val="83"/>
          <w:rFonts w:hint="eastAsia"/>
        </w:rPr>
        <w:t>资料性</w:t>
      </w:r>
      <w:r>
        <w:rPr>
          <w:rStyle w:val="83"/>
        </w:rPr>
        <w:t>附录）</w:t>
      </w:r>
      <w:r>
        <w:rPr>
          <w:rStyle w:val="83"/>
          <w:rFonts w:hint="eastAsia"/>
        </w:rPr>
        <w:t>节水型医院评价程序</w:t>
      </w:r>
      <w:r>
        <w:rPr>
          <w:rStyle w:val="83"/>
        </w:rPr>
        <w:t>…………………………………………………………………9</w:t>
      </w:r>
    </w:p>
    <w:p>
      <w:pPr>
        <w:autoSpaceDE w:val="0"/>
        <w:autoSpaceDN w:val="0"/>
        <w:adjustRightInd w:val="0"/>
        <w:spacing w:line="400" w:lineRule="exact"/>
        <w:rPr>
          <w:rStyle w:val="83"/>
          <w:kern w:val="0"/>
        </w:rPr>
      </w:pPr>
    </w:p>
    <w:p>
      <w:pPr>
        <w:autoSpaceDE w:val="0"/>
        <w:autoSpaceDN w:val="0"/>
        <w:adjustRightInd w:val="0"/>
        <w:spacing w:line="500" w:lineRule="exact"/>
        <w:rPr>
          <w:rStyle w:val="83"/>
          <w:rFonts w:hAnsi="宋体"/>
          <w:kern w:val="0"/>
        </w:rPr>
        <w:sectPr>
          <w:headerReference r:id="rId7" w:type="default"/>
          <w:footerReference r:id="rId8" w:type="default"/>
          <w:pgSz w:w="11907" w:h="16839"/>
          <w:pgMar w:top="1418" w:right="1134" w:bottom="1134" w:left="1418" w:header="1418" w:footer="851" w:gutter="0"/>
          <w:pgNumType w:fmt="upperRoman" w:start="1"/>
          <w:cols w:space="425" w:num="1"/>
          <w:docGrid w:type="lines" w:linePitch="312" w:charSpace="0"/>
        </w:sectPr>
      </w:pPr>
    </w:p>
    <w:bookmarkEnd w:id="1"/>
    <w:p>
      <w:pPr>
        <w:pStyle w:val="2"/>
        <w:spacing w:before="640" w:after="560" w:line="240" w:lineRule="auto"/>
        <w:jc w:val="center"/>
        <w:rPr>
          <w:rFonts w:ascii="黑体" w:eastAsia="黑体"/>
          <w:b w:val="0"/>
          <w:sz w:val="32"/>
          <w:szCs w:val="32"/>
        </w:rPr>
      </w:pPr>
      <w:bookmarkStart w:id="2" w:name="_Toc89332925"/>
      <w:bookmarkStart w:id="3" w:name="SectionMark2"/>
      <w:r>
        <w:rPr>
          <w:rFonts w:hint="eastAsia" w:ascii="黑体" w:eastAsia="黑体"/>
          <w:b w:val="0"/>
          <w:sz w:val="32"/>
          <w:szCs w:val="32"/>
        </w:rPr>
        <w:t>前    言</w:t>
      </w:r>
      <w:bookmarkEnd w:id="2"/>
    </w:p>
    <w:p>
      <w:pPr>
        <w:spacing w:line="420" w:lineRule="exact"/>
        <w:ind w:firstLine="420" w:firstLineChars="200"/>
        <w:rPr>
          <w:bCs/>
          <w:szCs w:val="21"/>
        </w:rPr>
      </w:pPr>
      <w:r>
        <w:rPr>
          <w:rFonts w:hint="eastAsia"/>
          <w:bCs/>
          <w:szCs w:val="21"/>
        </w:rPr>
        <w:t>本文件按照GB/T 1.1</w:t>
      </w:r>
      <w:r>
        <w:rPr>
          <w:rFonts w:hint="eastAsia"/>
          <w:szCs w:val="21"/>
        </w:rPr>
        <w:t>—20</w:t>
      </w:r>
      <w:r>
        <w:rPr>
          <w:szCs w:val="21"/>
        </w:rPr>
        <w:t>20</w:t>
      </w:r>
      <w:r>
        <w:rPr>
          <w:rFonts w:hint="eastAsia"/>
          <w:bCs/>
          <w:szCs w:val="21"/>
        </w:rPr>
        <w:t>《标准</w:t>
      </w:r>
      <w:r>
        <w:rPr>
          <w:bCs/>
          <w:szCs w:val="21"/>
        </w:rPr>
        <w:t>化工作导则</w:t>
      </w:r>
      <w:r>
        <w:rPr>
          <w:rFonts w:hint="eastAsia"/>
          <w:bCs/>
          <w:szCs w:val="21"/>
        </w:rPr>
        <w:t xml:space="preserve">  第1部分</w:t>
      </w:r>
      <w:r>
        <w:rPr>
          <w:bCs/>
          <w:szCs w:val="21"/>
        </w:rPr>
        <w:t>：标准化文件的结构和起草规则</w:t>
      </w:r>
      <w:r>
        <w:rPr>
          <w:rFonts w:hint="eastAsia"/>
          <w:bCs/>
          <w:szCs w:val="21"/>
        </w:rPr>
        <w:t>》的</w:t>
      </w:r>
      <w:r>
        <w:rPr>
          <w:bCs/>
          <w:szCs w:val="21"/>
        </w:rPr>
        <w:t>规定</w:t>
      </w:r>
      <w:r>
        <w:rPr>
          <w:rFonts w:hint="eastAsia"/>
          <w:bCs/>
          <w:szCs w:val="21"/>
        </w:rPr>
        <w:t>起草。</w:t>
      </w:r>
    </w:p>
    <w:p>
      <w:pPr>
        <w:spacing w:line="420" w:lineRule="exact"/>
        <w:ind w:firstLine="420" w:firstLineChars="200"/>
        <w:rPr>
          <w:bCs/>
          <w:szCs w:val="21"/>
        </w:rPr>
      </w:pPr>
      <w:r>
        <w:rPr>
          <w:bCs/>
          <w:szCs w:val="21"/>
        </w:rPr>
        <w:t>本</w:t>
      </w:r>
      <w:r>
        <w:rPr>
          <w:rFonts w:hint="eastAsia"/>
          <w:bCs/>
          <w:szCs w:val="21"/>
        </w:rPr>
        <w:t>文件</w:t>
      </w:r>
      <w:r>
        <w:rPr>
          <w:bCs/>
          <w:szCs w:val="21"/>
        </w:rPr>
        <w:t>由</w:t>
      </w:r>
      <w:r>
        <w:rPr>
          <w:kern w:val="0"/>
          <w:szCs w:val="21"/>
        </w:rPr>
        <w:t>河北省水利厅提出并归口。</w:t>
      </w:r>
    </w:p>
    <w:p>
      <w:pPr>
        <w:spacing w:line="420" w:lineRule="exact"/>
        <w:ind w:firstLine="420" w:firstLineChars="200"/>
        <w:rPr>
          <w:kern w:val="0"/>
          <w:szCs w:val="21"/>
        </w:rPr>
      </w:pPr>
      <w:r>
        <w:rPr>
          <w:kern w:val="0"/>
          <w:szCs w:val="21"/>
        </w:rPr>
        <w:t>本</w:t>
      </w:r>
      <w:r>
        <w:rPr>
          <w:rFonts w:hint="eastAsia"/>
          <w:kern w:val="0"/>
          <w:szCs w:val="21"/>
        </w:rPr>
        <w:t>文件主要</w:t>
      </w:r>
      <w:r>
        <w:rPr>
          <w:kern w:val="0"/>
          <w:szCs w:val="21"/>
        </w:rPr>
        <w:t>起草单位：</w:t>
      </w:r>
      <w:r>
        <w:rPr>
          <w:rFonts w:hint="eastAsia" w:hAnsi="宋体"/>
          <w:szCs w:val="21"/>
        </w:rPr>
        <w:t>××××××   ××××××</w:t>
      </w:r>
    </w:p>
    <w:p>
      <w:pPr>
        <w:pStyle w:val="100"/>
        <w:spacing w:line="420" w:lineRule="exact"/>
        <w:ind w:firstLine="420"/>
        <w:rPr>
          <w:rFonts w:ascii="Times New Roman"/>
        </w:rPr>
      </w:pPr>
      <w:r>
        <w:rPr>
          <w:rFonts w:ascii="Times New Roman"/>
          <w:bCs/>
          <w:szCs w:val="21"/>
        </w:rPr>
        <w:t>本</w:t>
      </w:r>
      <w:r>
        <w:rPr>
          <w:rFonts w:hint="eastAsia" w:ascii="Times New Roman"/>
          <w:szCs w:val="21"/>
        </w:rPr>
        <w:t>文件</w:t>
      </w:r>
      <w:r>
        <w:rPr>
          <w:rFonts w:ascii="Times New Roman"/>
          <w:szCs w:val="21"/>
        </w:rPr>
        <w:t>主要起草人：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  <w:r>
        <w:rPr>
          <w:rFonts w:hint="eastAsia" w:ascii="Times New Roman"/>
          <w:szCs w:val="21"/>
        </w:rPr>
        <w:t xml:space="preserve"> </w:t>
      </w:r>
      <w:r>
        <w:rPr>
          <w:rFonts w:hint="eastAsia" w:hAnsi="宋体"/>
          <w:szCs w:val="21"/>
        </w:rPr>
        <w:t>×××</w:t>
      </w:r>
    </w:p>
    <w:p>
      <w:pPr>
        <w:pStyle w:val="100"/>
        <w:spacing w:line="420" w:lineRule="exact"/>
        <w:ind w:firstLine="420"/>
        <w:rPr>
          <w:rFonts w:ascii="Times New Roma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sectPr>
          <w:pgSz w:w="11907" w:h="16839"/>
          <w:pgMar w:top="1418" w:right="1134" w:bottom="1134" w:left="1418" w:header="1418" w:footer="851" w:gutter="0"/>
          <w:pgNumType w:fmt="upperRoman"/>
          <w:cols w:space="425" w:num="1"/>
          <w:docGrid w:type="lines" w:linePitch="312" w:charSpace="0"/>
        </w:sectPr>
      </w:pPr>
    </w:p>
    <w:bookmarkEnd w:id="3"/>
    <w:p>
      <w:pPr>
        <w:spacing w:before="360" w:after="120" w:line="440" w:lineRule="exact"/>
        <w:jc w:val="center"/>
        <w:rPr>
          <w:rFonts w:ascii="黑体" w:eastAsia="黑体"/>
          <w:sz w:val="28"/>
          <w:szCs w:val="28"/>
        </w:rPr>
      </w:pPr>
      <w:bookmarkStart w:id="4" w:name="SectionMark4"/>
      <w:r>
        <w:rPr>
          <w:rFonts w:hint="eastAsia" w:ascii="黑体" w:eastAsia="黑体"/>
          <w:sz w:val="28"/>
          <w:szCs w:val="28"/>
        </w:rPr>
        <w:t>节水型医院</w:t>
      </w:r>
      <w:r>
        <w:rPr>
          <w:rFonts w:ascii="黑体" w:eastAsia="黑体"/>
          <w:sz w:val="28"/>
          <w:szCs w:val="28"/>
        </w:rPr>
        <w:t>评价</w:t>
      </w:r>
      <w:r>
        <w:rPr>
          <w:rFonts w:hint="eastAsia" w:ascii="黑体" w:eastAsia="黑体"/>
          <w:sz w:val="28"/>
          <w:szCs w:val="28"/>
        </w:rPr>
        <w:t>导则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5" w:name="_Toc89332926"/>
      <w:bookmarkStart w:id="6" w:name="_Toc158083342"/>
      <w:r>
        <w:rPr>
          <w:rFonts w:hint="eastAsia" w:ascii="黑体" w:eastAsia="黑体"/>
          <w:kern w:val="0"/>
          <w:sz w:val="24"/>
          <w:szCs w:val="24"/>
        </w:rPr>
        <w:t>1  范围</w:t>
      </w:r>
      <w:bookmarkEnd w:id="5"/>
      <w:bookmarkEnd w:id="6"/>
    </w:p>
    <w:p>
      <w:pPr>
        <w:spacing w:line="400" w:lineRule="exact"/>
        <w:ind w:firstLine="420" w:firstLineChars="200"/>
      </w:pPr>
      <w:bookmarkStart w:id="7" w:name="_Toc158083343"/>
      <w:r>
        <w:rPr>
          <w:rFonts w:hint="eastAsia"/>
        </w:rPr>
        <w:t>本文件规定了节水型医院</w:t>
      </w:r>
      <w:r>
        <w:t>的</w:t>
      </w:r>
      <w:r>
        <w:rPr>
          <w:rFonts w:hint="eastAsia"/>
        </w:rPr>
        <w:t>相关术语</w:t>
      </w:r>
      <w:r>
        <w:t>和定义、评价</w:t>
      </w:r>
      <w:r>
        <w:rPr>
          <w:rFonts w:hint="eastAsia"/>
        </w:rPr>
        <w:t>指标及评价</w:t>
      </w:r>
      <w:r>
        <w:t>内容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</w:pPr>
      <w:r>
        <w:rPr>
          <w:rFonts w:hint="eastAsia"/>
        </w:rPr>
        <w:t>本文件适用于河北省行政</w:t>
      </w:r>
      <w:r>
        <w:t>区域内</w:t>
      </w:r>
      <w:r>
        <w:rPr>
          <w:rFonts w:hint="eastAsia"/>
        </w:rPr>
        <w:t>三级医院</w:t>
      </w:r>
      <w:r>
        <w:t>、二级医院和一级医院</w:t>
      </w:r>
      <w:r>
        <w:rPr>
          <w:rFonts w:hint="eastAsia"/>
        </w:rPr>
        <w:t>的节水</w:t>
      </w:r>
      <w:r>
        <w:t>评价</w:t>
      </w:r>
      <w:r>
        <w:rPr>
          <w:rFonts w:hint="eastAsia"/>
        </w:rPr>
        <w:t>工作。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8" w:name="_Toc89332927"/>
      <w:r>
        <w:rPr>
          <w:rFonts w:hint="eastAsia" w:ascii="黑体" w:eastAsia="黑体"/>
          <w:kern w:val="0"/>
          <w:sz w:val="24"/>
          <w:szCs w:val="24"/>
        </w:rPr>
        <w:t>2  规范性引用文件</w:t>
      </w:r>
      <w:bookmarkEnd w:id="7"/>
      <w:bookmarkEnd w:id="8"/>
    </w:p>
    <w:p>
      <w:pPr>
        <w:spacing w:line="400" w:lineRule="exact"/>
        <w:ind w:firstLine="420" w:firstLineChars="200"/>
      </w:pPr>
      <w:r>
        <w:rPr>
          <w:rFonts w:hint="eastAsia"/>
          <w:szCs w:val="21"/>
        </w:rPr>
        <w:t>下列文件中</w:t>
      </w:r>
      <w:r>
        <w:rPr>
          <w:szCs w:val="21"/>
        </w:rPr>
        <w:t>的内容通过文中的规范性引用而构成本文件必不可少的条款。其中</w:t>
      </w:r>
      <w:r>
        <w:rPr>
          <w:rFonts w:hint="eastAsia"/>
          <w:szCs w:val="21"/>
        </w:rPr>
        <w:t>，</w:t>
      </w:r>
      <w:r>
        <w:rPr>
          <w:szCs w:val="21"/>
        </w:rPr>
        <w:t>注日期的引用文件，仅</w:t>
      </w:r>
      <w:r>
        <w:rPr>
          <w:rFonts w:hint="eastAsia"/>
          <w:szCs w:val="21"/>
        </w:rPr>
        <w:t>该日期对应的版本适用于本文件</w:t>
      </w:r>
      <w:r>
        <w:rPr>
          <w:szCs w:val="21"/>
        </w:rPr>
        <w:t>；</w:t>
      </w:r>
      <w:r>
        <w:rPr>
          <w:rFonts w:hint="eastAsia"/>
          <w:szCs w:val="21"/>
        </w:rPr>
        <w:t>不注日期的引用文件，其最新版本（包括所有的修改单）适用于本文件。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</w:t>
      </w:r>
      <w:r>
        <w:t xml:space="preserve">B 8978  </w:t>
      </w:r>
      <w:r>
        <w:rPr>
          <w:rFonts w:hint="eastAsia"/>
        </w:rPr>
        <w:t>污水综合排放标准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</w:t>
      </w:r>
      <w:r>
        <w:t xml:space="preserve">B 18918  </w:t>
      </w:r>
      <w:r>
        <w:rPr>
          <w:rFonts w:hint="eastAsia"/>
        </w:rPr>
        <w:t>城镇污水处理厂污染物排放标准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GB 24789  用水单位</w:t>
      </w:r>
      <w:r>
        <w:t>水计量器具配备和管理通则</w:t>
      </w:r>
    </w:p>
    <w:p>
      <w:pPr>
        <w:spacing w:line="400" w:lineRule="exact"/>
        <w:ind w:firstLine="359" w:firstLineChars="171"/>
      </w:pPr>
      <w:r>
        <w:rPr>
          <w:rFonts w:hint="eastAsia"/>
        </w:rPr>
        <w:t>GB/T 31436  节水型</w:t>
      </w:r>
      <w:r>
        <w:t>卫生洁具</w:t>
      </w:r>
    </w:p>
    <w:p>
      <w:pPr>
        <w:spacing w:line="400" w:lineRule="exact"/>
        <w:ind w:firstLine="359" w:firstLineChars="171"/>
      </w:pPr>
      <w:r>
        <w:t xml:space="preserve">DB13/T 5450.2  </w:t>
      </w:r>
      <w:r>
        <w:rPr>
          <w:rFonts w:hint="eastAsia"/>
        </w:rPr>
        <w:t>生活与服务业用水定额 第2部分：服务业</w:t>
      </w:r>
    </w:p>
    <w:p>
      <w:pPr>
        <w:pStyle w:val="2"/>
        <w:spacing w:before="156" w:beforeLines="50" w:after="156" w:afterLines="50" w:line="460" w:lineRule="exact"/>
        <w:rPr>
          <w:rFonts w:ascii="黑体" w:eastAsia="黑体"/>
          <w:kern w:val="0"/>
          <w:sz w:val="24"/>
          <w:szCs w:val="24"/>
        </w:rPr>
      </w:pPr>
      <w:bookmarkStart w:id="9" w:name="_Toc89332928"/>
      <w:r>
        <w:rPr>
          <w:rFonts w:ascii="黑体" w:eastAsia="黑体"/>
          <w:kern w:val="0"/>
          <w:sz w:val="24"/>
          <w:szCs w:val="24"/>
        </w:rPr>
        <w:t>3  术语和定义</w:t>
      </w:r>
      <w:bookmarkEnd w:id="9"/>
    </w:p>
    <w:p>
      <w:pPr>
        <w:spacing w:line="400" w:lineRule="exact"/>
        <w:ind w:left="360"/>
      </w:pPr>
      <w:r>
        <w:rPr>
          <w:rFonts w:hint="eastAsia"/>
        </w:rPr>
        <w:t>下列术语和定义适用于本文件。</w:t>
      </w:r>
    </w:p>
    <w:p>
      <w:pPr>
        <w:autoSpaceDE w:val="0"/>
        <w:autoSpaceDN w:val="0"/>
        <w:adjustRightInd w:val="0"/>
        <w:spacing w:line="400" w:lineRule="exact"/>
        <w:jc w:val="left"/>
        <w:rPr>
          <w:rFonts w:ascii="黑体" w:eastAsia="黑体"/>
        </w:rPr>
      </w:pPr>
      <w:r>
        <w:rPr>
          <w:rFonts w:ascii="黑体" w:eastAsia="黑体"/>
        </w:rPr>
        <w:t>3.1</w:t>
      </w:r>
    </w:p>
    <w:p>
      <w:pPr>
        <w:widowControl/>
        <w:spacing w:line="400" w:lineRule="exact"/>
        <w:ind w:right="165" w:firstLine="413" w:firstLineChars="196"/>
        <w:jc w:val="left"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hint="eastAsia"/>
          <w:b/>
        </w:rPr>
        <w:t xml:space="preserve">节水型医院 </w:t>
      </w:r>
      <w:r>
        <w:rPr>
          <w:b/>
        </w:rPr>
        <w:t xml:space="preserve"> water-saving hospital</w:t>
      </w:r>
    </w:p>
    <w:p>
      <w:pPr>
        <w:autoSpaceDE w:val="0"/>
        <w:autoSpaceDN w:val="0"/>
        <w:adjustRightInd w:val="0"/>
        <w:spacing w:line="400" w:lineRule="exact"/>
        <w:ind w:firstLine="420" w:firstLineChars="200"/>
        <w:jc w:val="left"/>
        <w:rPr>
          <w:rFonts w:ascii="黑体" w:eastAsia="黑体"/>
        </w:rPr>
      </w:pPr>
      <w:r>
        <w:rPr>
          <w:rFonts w:hint="eastAsia"/>
        </w:rPr>
        <w:t>采用</w:t>
      </w:r>
      <w:r>
        <w:t>先进适用的管理措施</w:t>
      </w:r>
      <w:r>
        <w:rPr>
          <w:rFonts w:hint="eastAsia"/>
        </w:rPr>
        <w:t>、</w:t>
      </w:r>
      <w:r>
        <w:t>节水技术</w:t>
      </w:r>
      <w:r>
        <w:rPr>
          <w:rFonts w:hint="eastAsia"/>
        </w:rPr>
        <w:t>和</w:t>
      </w:r>
      <w:r>
        <w:t>服务方式</w:t>
      </w:r>
      <w:r>
        <w:rPr>
          <w:rFonts w:hint="eastAsia"/>
        </w:rPr>
        <w:t>，使医院</w:t>
      </w:r>
      <w:r>
        <w:t>用水效率达到</w:t>
      </w:r>
      <w:r>
        <w:rPr>
          <w:rFonts w:hint="eastAsia"/>
        </w:rPr>
        <w:t>本</w:t>
      </w:r>
      <w:r>
        <w:t>文件要求，</w:t>
      </w:r>
      <w:r>
        <w:rPr>
          <w:rFonts w:hint="eastAsia"/>
        </w:rPr>
        <w:t>并经</w:t>
      </w:r>
      <w:r>
        <w:t>相关部门</w:t>
      </w:r>
      <w:r>
        <w:rPr>
          <w:rFonts w:hint="eastAsia"/>
        </w:rPr>
        <w:t>或</w:t>
      </w:r>
      <w:r>
        <w:t>机构认定的</w:t>
      </w:r>
      <w:r>
        <w:rPr>
          <w:rFonts w:hint="eastAsia"/>
        </w:rPr>
        <w:t>医院</w:t>
      </w:r>
      <w:r>
        <w:t>。</w:t>
      </w:r>
      <w:bookmarkStart w:id="10" w:name="_Toc89332929"/>
    </w:p>
    <w:p>
      <w:pPr>
        <w:pStyle w:val="2"/>
        <w:spacing w:before="156" w:beforeLines="50" w:after="156" w:afterLines="50" w:line="460" w:lineRule="exact"/>
        <w:rPr>
          <w:rFonts w:ascii="黑体" w:eastAsia="黑体"/>
          <w:b w:val="0"/>
          <w:kern w:val="0"/>
          <w:sz w:val="24"/>
          <w:szCs w:val="24"/>
        </w:rPr>
      </w:pPr>
      <w:r>
        <w:rPr>
          <w:rFonts w:hint="eastAsia" w:ascii="黑体" w:eastAsia="黑体"/>
          <w:b w:val="0"/>
          <w:kern w:val="0"/>
          <w:sz w:val="24"/>
          <w:szCs w:val="24"/>
        </w:rPr>
        <w:t>4  评价指标</w:t>
      </w:r>
      <w:r>
        <w:rPr>
          <w:rFonts w:ascii="黑体" w:eastAsia="黑体"/>
          <w:b w:val="0"/>
          <w:kern w:val="0"/>
          <w:sz w:val="24"/>
          <w:szCs w:val="24"/>
        </w:rPr>
        <w:t>及</w:t>
      </w:r>
      <w:r>
        <w:rPr>
          <w:rFonts w:hint="eastAsia" w:ascii="黑体" w:eastAsia="黑体"/>
          <w:b w:val="0"/>
          <w:kern w:val="0"/>
          <w:sz w:val="24"/>
          <w:szCs w:val="24"/>
        </w:rPr>
        <w:t>评价</w:t>
      </w:r>
      <w:r>
        <w:rPr>
          <w:rFonts w:ascii="黑体" w:eastAsia="黑体"/>
          <w:b w:val="0"/>
          <w:kern w:val="0"/>
          <w:sz w:val="24"/>
          <w:szCs w:val="24"/>
        </w:rPr>
        <w:t>内容</w:t>
      </w:r>
      <w:bookmarkEnd w:id="10"/>
    </w:p>
    <w:bookmarkEnd w:id="4"/>
    <w:p>
      <w:pPr>
        <w:spacing w:line="400" w:lineRule="exact"/>
        <w:outlineLvl w:val="1"/>
        <w:rPr>
          <w:rFonts w:ascii="黑体" w:eastAsia="黑体"/>
          <w:b/>
        </w:rPr>
      </w:pPr>
      <w:bookmarkStart w:id="11" w:name="SectionMark5"/>
      <w:r>
        <w:rPr>
          <w:rFonts w:hint="eastAsia" w:ascii="黑体" w:eastAsia="黑体"/>
          <w:b/>
        </w:rPr>
        <w:t>4.1  总则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 xml:space="preserve">4.1.1  </w:t>
      </w:r>
      <w:r>
        <w:rPr>
          <w:rFonts w:hint="eastAsia"/>
        </w:rPr>
        <w:t>节水型</w:t>
      </w:r>
      <w:r>
        <w:t>医院评价指标</w:t>
      </w:r>
      <w:r>
        <w:rPr>
          <w:rFonts w:hint="eastAsia"/>
        </w:rPr>
        <w:t>体系</w:t>
      </w:r>
      <w:r>
        <w:t>包括管理指标、技术指标及鼓励性指标。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>4.1.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</w:t>
      </w:r>
      <w:r>
        <w:t>医院</w:t>
      </w:r>
      <w:r>
        <w:rPr>
          <w:rFonts w:hint="eastAsia"/>
        </w:rPr>
        <w:t>评价标准</w:t>
      </w:r>
      <w:r>
        <w:t>和评价方法见附录</w:t>
      </w:r>
      <w:r>
        <w:rPr>
          <w:rFonts w:hint="eastAsia"/>
        </w:rPr>
        <w:t>A。</w:t>
      </w:r>
    </w:p>
    <w:p>
      <w:pPr>
        <w:spacing w:line="400" w:lineRule="exact"/>
        <w:outlineLvl w:val="1"/>
      </w:pPr>
      <w:r>
        <w:rPr>
          <w:rFonts w:hint="eastAsia" w:ascii="黑体" w:eastAsia="黑体"/>
        </w:rPr>
        <w:t>4.1.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</w:t>
      </w:r>
      <w:r>
        <w:t>医院</w:t>
      </w:r>
      <w:r>
        <w:rPr>
          <w:rFonts w:hint="eastAsia"/>
        </w:rPr>
        <w:t>评价</w:t>
      </w:r>
      <w:r>
        <w:t>程序见附录</w:t>
      </w:r>
      <w:r>
        <w:rPr>
          <w:rFonts w:hint="eastAsia"/>
        </w:rPr>
        <w:t>B。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2</w:t>
      </w:r>
      <w:r>
        <w:rPr>
          <w:rFonts w:hint="eastAsia" w:ascii="黑体" w:eastAsia="黑体"/>
          <w:b/>
        </w:rPr>
        <w:t xml:space="preserve">  管理指标</w:t>
      </w:r>
    </w:p>
    <w:p>
      <w:pPr>
        <w:spacing w:line="400" w:lineRule="exact"/>
        <w:rPr>
          <w:rFonts w:ascii="黑体" w:eastAsia="黑体"/>
        </w:rPr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机构</w:t>
      </w:r>
      <w:r>
        <w:t>设置和</w:t>
      </w:r>
      <w:r>
        <w:rPr>
          <w:rFonts w:hint="eastAsia"/>
        </w:rPr>
        <w:t>制度建设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a)  用水</w:t>
      </w:r>
      <w:r>
        <w:t>管理</w:t>
      </w:r>
      <w:r>
        <w:rPr>
          <w:rFonts w:hint="eastAsia"/>
        </w:rPr>
        <w:t>组织</w:t>
      </w:r>
      <w:r>
        <w:t>机构健全，明确主管领导、主管部门和管理人员</w:t>
      </w:r>
      <w:r>
        <w:rPr>
          <w:rFonts w:hint="eastAsia"/>
        </w:rPr>
        <w:t>，</w:t>
      </w:r>
      <w:r>
        <w:t>配备有相应的资源，运行管理规范。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 xml:space="preserve">b)  </w:t>
      </w:r>
      <w:r>
        <w:t>有合理的</w:t>
      </w:r>
      <w:r>
        <w:rPr>
          <w:rFonts w:hint="eastAsia"/>
        </w:rPr>
        <w:t>用水节水</w:t>
      </w:r>
      <w:r>
        <w:t>管理制度和用水计划。</w:t>
      </w:r>
    </w:p>
    <w:p>
      <w:pPr>
        <w:spacing w:line="400" w:lineRule="exact"/>
        <w:ind w:firstLine="420" w:firstLineChars="200"/>
        <w:outlineLvl w:val="1"/>
      </w:pPr>
      <w:r>
        <w:t>c</w:t>
      </w:r>
      <w:r>
        <w:rPr>
          <w:rFonts w:hint="eastAsia"/>
        </w:rPr>
        <w:t xml:space="preserve">) </w:t>
      </w:r>
      <w:r>
        <w:rPr>
          <w:rFonts w:hint="eastAsia" w:ascii="黑体" w:eastAsia="黑体"/>
        </w:rPr>
        <w:t xml:space="preserve"> </w:t>
      </w:r>
      <w:r>
        <w:rPr>
          <w:rFonts w:hint="eastAsia"/>
        </w:rPr>
        <w:t>取水许可</w:t>
      </w:r>
      <w:r>
        <w:t>和计划用水管理</w:t>
      </w:r>
      <w:r>
        <w:rPr>
          <w:rFonts w:hint="eastAsia"/>
        </w:rPr>
        <w:t>资料</w:t>
      </w:r>
      <w:r>
        <w:t>齐全。</w:t>
      </w:r>
    </w:p>
    <w:p>
      <w:pPr>
        <w:spacing w:line="400" w:lineRule="exact"/>
        <w:ind w:firstLine="420" w:firstLineChars="200"/>
        <w:outlineLvl w:val="1"/>
      </w:pPr>
      <w:r>
        <w:t>d</w:t>
      </w:r>
      <w:r>
        <w:rPr>
          <w:rFonts w:hint="eastAsia"/>
        </w:rPr>
        <w:t>)  有</w:t>
      </w:r>
      <w:r>
        <w:t>完整的供用水管网图、</w:t>
      </w:r>
      <w:r>
        <w:rPr>
          <w:rFonts w:hint="eastAsia"/>
        </w:rPr>
        <w:t>水计量</w:t>
      </w:r>
      <w:r>
        <w:t>器具网络图和水计量器具一览表。</w:t>
      </w:r>
    </w:p>
    <w:p>
      <w:pPr>
        <w:spacing w:line="400" w:lineRule="exact"/>
        <w:rPr>
          <w:rFonts w:ascii="黑体" w:eastAsia="黑体"/>
        </w:rPr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日常管护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a)  按照相关规定周期开展</w:t>
      </w:r>
      <w:r>
        <w:t>过水平衡测试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>b</w:t>
      </w:r>
      <w:r>
        <w:rPr>
          <w:rFonts w:hint="eastAsia"/>
        </w:rPr>
        <w:t xml:space="preserve">)  </w:t>
      </w:r>
      <w:r>
        <w:t>定期对</w:t>
      </w:r>
      <w:r>
        <w:rPr>
          <w:rFonts w:hint="eastAsia"/>
        </w:rPr>
        <w:t>供、用水</w:t>
      </w:r>
      <w:r>
        <w:t>管道</w:t>
      </w:r>
      <w:r>
        <w:rPr>
          <w:rFonts w:hint="eastAsia"/>
        </w:rPr>
        <w:t>和</w:t>
      </w:r>
      <w:r>
        <w:t>设备进行</w:t>
      </w:r>
      <w:r>
        <w:rPr>
          <w:rFonts w:hint="eastAsia"/>
        </w:rPr>
        <w:t>巡检</w:t>
      </w:r>
      <w:r>
        <w:t>、维修和养护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c)  </w:t>
      </w:r>
      <w:r>
        <w:rPr>
          <w:rFonts w:hint="eastAsia"/>
        </w:rPr>
        <w:t>用水原始</w:t>
      </w:r>
      <w:r>
        <w:t>记录和统计台账完整规范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d</w:t>
      </w:r>
      <w:r>
        <w:t xml:space="preserve">)  </w:t>
      </w:r>
      <w:r>
        <w:rPr>
          <w:rFonts w:hint="eastAsia"/>
        </w:rPr>
        <w:t>针对洗涤、消毒、蒸汽、水疗等设备制定并实施有节水操作和管理规程，对制剂用水和医疗用水有特定的管理制度。</w:t>
      </w:r>
    </w:p>
    <w:p>
      <w:pPr>
        <w:spacing w:line="400" w:lineRule="exact"/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节水宣传</w:t>
      </w:r>
    </w:p>
    <w:p>
      <w:pPr>
        <w:spacing w:line="400" w:lineRule="exact"/>
        <w:ind w:firstLine="420" w:firstLineChars="200"/>
        <w:outlineLvl w:val="1"/>
      </w:pPr>
      <w:r>
        <w:t xml:space="preserve">a)  </w:t>
      </w:r>
      <w:r>
        <w:rPr>
          <w:rFonts w:hint="eastAsia"/>
        </w:rPr>
        <w:t>有</w:t>
      </w:r>
      <w:r>
        <w:t>年度节水宣传</w:t>
      </w:r>
      <w:r>
        <w:rPr>
          <w:rFonts w:hint="eastAsia"/>
        </w:rPr>
        <w:t>计划</w:t>
      </w:r>
      <w:r>
        <w:t>，</w:t>
      </w:r>
      <w:r>
        <w:rPr>
          <w:rFonts w:hint="eastAsia"/>
        </w:rPr>
        <w:t>在</w:t>
      </w:r>
      <w:r>
        <w:t>“</w:t>
      </w:r>
      <w:r>
        <w:rPr>
          <w:rFonts w:hint="eastAsia"/>
        </w:rPr>
        <w:t>世界</w:t>
      </w:r>
      <w:r>
        <w:t>水日”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中国</w:t>
      </w:r>
      <w:r>
        <w:t>水周”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全国</w:t>
      </w:r>
      <w:r>
        <w:t>城市节水宣传周”</w:t>
      </w:r>
      <w:r>
        <w:rPr>
          <w:rFonts w:hint="eastAsia"/>
        </w:rPr>
        <w:t>、</w:t>
      </w:r>
      <w:r>
        <w:t>“</w:t>
      </w:r>
      <w:r>
        <w:rPr>
          <w:rFonts w:hint="eastAsia"/>
        </w:rPr>
        <w:t>节能</w:t>
      </w:r>
      <w:r>
        <w:t>宣传周”</w:t>
      </w:r>
      <w:r>
        <w:rPr>
          <w:rFonts w:hint="eastAsia"/>
        </w:rPr>
        <w:t>等</w:t>
      </w:r>
      <w:r>
        <w:t>节水</w:t>
      </w:r>
      <w:r>
        <w:rPr>
          <w:rFonts w:hint="eastAsia"/>
        </w:rPr>
        <w:t>主题</w:t>
      </w:r>
      <w:r>
        <w:t>宣传</w:t>
      </w:r>
      <w:r>
        <w:rPr>
          <w:rFonts w:hint="eastAsia"/>
        </w:rPr>
        <w:t>活动</w:t>
      </w:r>
      <w:r>
        <w:t>期间，开展集中宣传活动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b)  </w:t>
      </w:r>
      <w:r>
        <w:rPr>
          <w:rFonts w:hint="eastAsia"/>
        </w:rPr>
        <w:t>制定并</w:t>
      </w:r>
      <w:r>
        <w:t>实施节水行为规范，</w:t>
      </w:r>
      <w:r>
        <w:rPr>
          <w:rFonts w:hint="eastAsia"/>
        </w:rPr>
        <w:t>在卫生间、食堂等主要用水场所和用水设施醒目位置张贴节水宣传标志或标识。</w:t>
      </w:r>
    </w:p>
    <w:p>
      <w:pPr>
        <w:spacing w:line="400" w:lineRule="exact"/>
        <w:ind w:firstLine="420" w:firstLineChars="200"/>
        <w:outlineLvl w:val="1"/>
      </w:pPr>
      <w:r>
        <w:t xml:space="preserve">c)  </w:t>
      </w:r>
      <w:r>
        <w:rPr>
          <w:rFonts w:hint="eastAsia"/>
        </w:rPr>
        <w:t>在</w:t>
      </w:r>
      <w:r>
        <w:t>医院</w:t>
      </w:r>
      <w:r>
        <w:rPr>
          <w:rFonts w:hint="eastAsia"/>
        </w:rPr>
        <w:t>醒目位置</w:t>
      </w:r>
      <w:r>
        <w:t>设置</w:t>
      </w:r>
      <w:r>
        <w:rPr>
          <w:rFonts w:hint="eastAsia"/>
        </w:rPr>
        <w:t>固定</w:t>
      </w:r>
      <w:r>
        <w:t>节水宣传栏和</w:t>
      </w:r>
      <w:r>
        <w:rPr>
          <w:rFonts w:hint="eastAsia"/>
        </w:rPr>
        <w:t>固定</w:t>
      </w:r>
      <w:r>
        <w:t>节水宣传</w:t>
      </w:r>
      <w:r>
        <w:rPr>
          <w:rFonts w:hint="eastAsia"/>
        </w:rPr>
        <w:t>标语</w:t>
      </w:r>
      <w:r>
        <w:t>。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d)  利用</w:t>
      </w:r>
      <w:r>
        <w:t>电子屏或其他</w:t>
      </w:r>
      <w:r>
        <w:rPr>
          <w:rFonts w:hint="eastAsia"/>
        </w:rPr>
        <w:t>等</w:t>
      </w:r>
      <w:r>
        <w:t>媒介定期播放节水视频、音频</w:t>
      </w:r>
      <w:r>
        <w:rPr>
          <w:rFonts w:hint="eastAsia"/>
        </w:rPr>
        <w:t>资料</w:t>
      </w:r>
      <w:r>
        <w:t>。</w:t>
      </w:r>
    </w:p>
    <w:p>
      <w:pPr>
        <w:spacing w:line="400" w:lineRule="exact"/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2.4</w:t>
      </w:r>
      <w:r>
        <w:rPr>
          <w:rFonts w:hint="eastAsia" w:ascii="黑体" w:eastAsia="黑体"/>
          <w:b/>
        </w:rPr>
        <w:t xml:space="preserve">  </w:t>
      </w:r>
      <w:r>
        <w:rPr>
          <w:rFonts w:hint="eastAsia"/>
        </w:rPr>
        <w:t>非常规水利用</w:t>
      </w:r>
    </w:p>
    <w:p>
      <w:pPr>
        <w:spacing w:line="400" w:lineRule="exact"/>
        <w:ind w:firstLine="420" w:firstLineChars="200"/>
        <w:outlineLvl w:val="1"/>
      </w:pPr>
      <w:r>
        <w:t xml:space="preserve">a)  </w:t>
      </w:r>
      <w:r>
        <w:rPr>
          <w:rFonts w:hint="eastAsia"/>
        </w:rPr>
        <w:t>配备污水</w:t>
      </w:r>
      <w:r>
        <w:t>处理设施，污水排放达到</w:t>
      </w:r>
      <w:r>
        <w:rPr>
          <w:rFonts w:hint="eastAsia"/>
        </w:rPr>
        <w:t>GB8978和GB18918的</w:t>
      </w:r>
      <w:r>
        <w:t>要求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b)  </w:t>
      </w:r>
      <w:r>
        <w:rPr>
          <w:rFonts w:hint="eastAsia"/>
        </w:rPr>
        <w:t>安装直饮水尾水、锅炉冷凝水和空调冷凝水回收设施</w:t>
      </w:r>
      <w:r>
        <w:t>，并有效利用</w:t>
      </w:r>
      <w:r>
        <w:rPr>
          <w:rFonts w:hint="eastAsia"/>
        </w:rPr>
        <w:t>。</w:t>
      </w:r>
    </w:p>
    <w:p>
      <w:pPr>
        <w:spacing w:line="400" w:lineRule="exact"/>
        <w:ind w:firstLine="420" w:firstLineChars="200"/>
        <w:outlineLvl w:val="1"/>
      </w:pPr>
      <w:r>
        <w:t xml:space="preserve">c)  </w:t>
      </w:r>
      <w:r>
        <w:rPr>
          <w:rFonts w:hint="eastAsia"/>
        </w:rPr>
        <w:t>建设雨水集蓄系统</w:t>
      </w:r>
      <w:r>
        <w:t>，并有效利用。</w:t>
      </w:r>
    </w:p>
    <w:p>
      <w:pPr>
        <w:spacing w:line="400" w:lineRule="exact"/>
      </w:pPr>
      <w:r>
        <w:rPr>
          <w:rFonts w:hint="eastAsia" w:ascii="黑体" w:eastAsia="黑体"/>
        </w:rPr>
        <w:t>4.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5</w:t>
      </w:r>
      <w:r>
        <w:rPr>
          <w:rFonts w:hint="eastAsia" w:ascii="黑体" w:eastAsia="黑体"/>
        </w:rPr>
        <w:t xml:space="preserve"> </w:t>
      </w:r>
      <w:r>
        <w:rPr>
          <w:rFonts w:hint="eastAsia" w:ascii="黑体" w:eastAsia="黑体"/>
          <w:b/>
        </w:rPr>
        <w:t xml:space="preserve"> </w:t>
      </w:r>
      <w:r>
        <w:rPr>
          <w:rFonts w:hint="eastAsia"/>
        </w:rPr>
        <w:t>景观绿化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a</w:t>
      </w:r>
      <w:r>
        <w:t xml:space="preserve">)  </w:t>
      </w:r>
      <w:r>
        <w:rPr>
          <w:rFonts w:hint="eastAsia"/>
        </w:rPr>
        <w:t>绿化选用耐旱树木、花草，灌溉采用喷灌、微喷灌和滴灌等高效节水方式。</w:t>
      </w:r>
    </w:p>
    <w:p>
      <w:pPr>
        <w:spacing w:line="400" w:lineRule="exact"/>
        <w:ind w:firstLine="420" w:firstLineChars="200"/>
        <w:outlineLvl w:val="1"/>
      </w:pPr>
      <w:r>
        <w:t xml:space="preserve">b)  </w:t>
      </w:r>
      <w:r>
        <w:rPr>
          <w:rFonts w:hint="eastAsia"/>
        </w:rPr>
        <w:t>禁止使用地下水和</w:t>
      </w:r>
      <w:r>
        <w:t>自来水</w:t>
      </w:r>
      <w:r>
        <w:rPr>
          <w:rFonts w:hint="eastAsia"/>
        </w:rPr>
        <w:t>建造人造水景观。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3</w:t>
      </w:r>
      <w:r>
        <w:rPr>
          <w:rFonts w:hint="eastAsia" w:ascii="黑体" w:eastAsia="黑体"/>
          <w:b/>
        </w:rPr>
        <w:t xml:space="preserve">  技术指标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门诊部单位</w:t>
      </w:r>
      <w:r>
        <w:t>人次用水量</w:t>
      </w:r>
    </w:p>
    <w:p>
      <w:pPr>
        <w:autoSpaceDE w:val="0"/>
        <w:autoSpaceDN w:val="0"/>
        <w:adjustRightInd w:val="0"/>
        <w:spacing w:line="400" w:lineRule="exact"/>
        <w:ind w:firstLine="420" w:firstLineChars="200"/>
        <w:jc w:val="left"/>
      </w:pPr>
      <w:r>
        <w:rPr>
          <w:rFonts w:hint="eastAsia"/>
        </w:rPr>
        <w:t>门诊</w:t>
      </w:r>
      <w:r>
        <w:t>部</w:t>
      </w:r>
      <w:r>
        <w:rPr>
          <w:rFonts w:hint="eastAsia"/>
        </w:rPr>
        <w:t>单位</w:t>
      </w:r>
      <w:r>
        <w:t>人次用水量应符合</w:t>
      </w:r>
      <w:r>
        <w:rPr>
          <w:rFonts w:hint="eastAsia"/>
        </w:rPr>
        <w:t>DB13/T 5450.2的相关</w:t>
      </w:r>
      <w:r>
        <w:t>规定，不大于先进值</w:t>
      </w:r>
      <w:r>
        <w:rPr>
          <w:rFonts w:hint="eastAsia"/>
        </w:rPr>
        <w:t>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.2 </w:t>
      </w:r>
      <w:r>
        <w:rPr>
          <w:rFonts w:ascii="黑体" w:eastAsia="黑体"/>
        </w:rPr>
        <w:t xml:space="preserve"> </w:t>
      </w:r>
      <w:r>
        <w:rPr>
          <w:rFonts w:hint="eastAsia"/>
        </w:rPr>
        <w:t>住院部</w:t>
      </w:r>
      <w:r>
        <w:t>单位</w:t>
      </w:r>
      <w:r>
        <w:rPr>
          <w:rFonts w:hint="eastAsia"/>
        </w:rPr>
        <w:t>编制床</w:t>
      </w:r>
      <w:r>
        <w:t>用水量</w:t>
      </w:r>
    </w:p>
    <w:p>
      <w:pPr>
        <w:spacing w:line="400" w:lineRule="exact"/>
      </w:pPr>
      <w:r>
        <w:rPr>
          <w:rFonts w:hint="eastAsia"/>
        </w:rPr>
        <w:t xml:space="preserve">    住院部</w:t>
      </w:r>
      <w:r>
        <w:t>单位</w:t>
      </w:r>
      <w:r>
        <w:rPr>
          <w:rFonts w:hint="eastAsia"/>
        </w:rPr>
        <w:t>编制床</w:t>
      </w:r>
      <w:r>
        <w:t>用水量应符合</w:t>
      </w:r>
      <w:r>
        <w:rPr>
          <w:rFonts w:hint="eastAsia"/>
        </w:rPr>
        <w:t>DB13/T 5450.2的相关</w:t>
      </w:r>
      <w:r>
        <w:t>规定，不大于先进值</w:t>
      </w:r>
      <w:r>
        <w:rPr>
          <w:rFonts w:hint="eastAsia"/>
        </w:rPr>
        <w:t>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年用水</w:t>
      </w:r>
      <w:r>
        <w:t>总量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年</w:t>
      </w:r>
      <w:r>
        <w:t>用水总量应小于等于地方下达的</w:t>
      </w:r>
      <w:r>
        <w:rPr>
          <w:rFonts w:hint="eastAsia"/>
        </w:rPr>
        <w:t>年度</w:t>
      </w:r>
      <w:r>
        <w:t>计划用水指标。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管网漏损率</w:t>
      </w:r>
    </w:p>
    <w:p>
      <w:pPr>
        <w:spacing w:line="400" w:lineRule="exact"/>
        <w:ind w:firstLine="435"/>
      </w:pPr>
      <w:r>
        <w:rPr>
          <w:rFonts w:hint="eastAsia"/>
        </w:rPr>
        <w:t>管网</w:t>
      </w:r>
      <w:r>
        <w:t>漏损率应小于</w:t>
      </w:r>
      <w:r>
        <w:rPr>
          <w:rFonts w:hint="eastAsia"/>
        </w:rPr>
        <w:t>2</w:t>
      </w:r>
      <w:r>
        <w:t>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5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水计量器具配备率</w:t>
      </w:r>
    </w:p>
    <w:p>
      <w:pPr>
        <w:spacing w:line="400" w:lineRule="exact"/>
        <w:ind w:firstLine="435"/>
      </w:pPr>
      <w:r>
        <w:rPr>
          <w:rFonts w:hint="eastAsia"/>
        </w:rPr>
        <w:t>a</w:t>
      </w:r>
      <w:r>
        <w:t xml:space="preserve">)  </w:t>
      </w:r>
      <w:r>
        <w:rPr>
          <w:rFonts w:hint="eastAsia"/>
        </w:rPr>
        <w:t>水计量器具依据GB24789的要求配备，用水</w:t>
      </w:r>
      <w:r>
        <w:t>单位</w:t>
      </w:r>
      <w:r>
        <w:rPr>
          <w:rFonts w:hint="eastAsia"/>
        </w:rPr>
        <w:t>水</w:t>
      </w:r>
      <w:r>
        <w:t>计量器具配备率应达到</w:t>
      </w:r>
      <w:r>
        <w:rPr>
          <w:rFonts w:hint="eastAsia"/>
        </w:rPr>
        <w:t>100</w:t>
      </w:r>
      <w:r>
        <w:t>%，</w:t>
      </w:r>
      <w:r>
        <w:rPr>
          <w:rFonts w:hint="eastAsia"/>
        </w:rPr>
        <w:t>主要次级</w:t>
      </w:r>
      <w:r>
        <w:t>用水单位和主要用水</w:t>
      </w:r>
      <w:r>
        <w:rPr>
          <w:rFonts w:hint="eastAsia"/>
        </w:rPr>
        <w:t>设备</w:t>
      </w:r>
      <w:r>
        <w:t>（</w:t>
      </w:r>
      <w:r>
        <w:rPr>
          <w:rFonts w:hint="eastAsia"/>
        </w:rPr>
        <w:t>用水</w:t>
      </w:r>
      <w:r>
        <w:t>系统）水计量器具配备率应达到</w:t>
      </w:r>
      <w:r>
        <w:rPr>
          <w:rFonts w:hint="eastAsia"/>
        </w:rPr>
        <w:t>100</w:t>
      </w:r>
      <w:r>
        <w:t>%。</w:t>
      </w:r>
    </w:p>
    <w:p>
      <w:pPr>
        <w:spacing w:line="400" w:lineRule="exact"/>
        <w:ind w:firstLine="435"/>
      </w:pPr>
      <w:r>
        <w:rPr>
          <w:rFonts w:hint="eastAsia"/>
        </w:rPr>
        <w:t>b</w:t>
      </w:r>
      <w:r>
        <w:t xml:space="preserve">)  </w:t>
      </w:r>
      <w:r>
        <w:rPr>
          <w:rFonts w:hint="eastAsia"/>
        </w:rPr>
        <w:t>医院应在供暖系统、空调系统、食堂、中水贮水池等特殊部位用水的补水管上加装水量计量仪表，对补水量进行计量。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6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水计量率</w:t>
      </w:r>
    </w:p>
    <w:p>
      <w:pPr>
        <w:spacing w:line="400" w:lineRule="exact"/>
        <w:ind w:firstLine="435"/>
      </w:pPr>
      <w:r>
        <w:rPr>
          <w:rFonts w:hint="eastAsia"/>
        </w:rPr>
        <w:t>水计量率按照GB24789的规定执行，用水单位水计量率应达到100%，次级用水单位水计量率应不低于95%。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7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节水型</w:t>
      </w:r>
      <w:r>
        <w:t>器具普及率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a)  禁止</w:t>
      </w:r>
      <w:r>
        <w:t>使用</w:t>
      </w:r>
      <w:r>
        <w:rPr>
          <w:rFonts w:hint="eastAsia"/>
        </w:rPr>
        <w:t>列入</w:t>
      </w:r>
      <w:r>
        <w:t>国家淘汰名录的用水设备和器具</w:t>
      </w:r>
      <w:r>
        <w:rPr>
          <w:rFonts w:hint="eastAsia"/>
        </w:rPr>
        <w:t>。</w:t>
      </w:r>
    </w:p>
    <w:p>
      <w:pPr>
        <w:autoSpaceDE w:val="0"/>
        <w:autoSpaceDN w:val="0"/>
        <w:adjustRightInd w:val="0"/>
        <w:spacing w:line="400" w:lineRule="exact"/>
        <w:ind w:firstLine="435"/>
        <w:jc w:val="left"/>
      </w:pPr>
      <w:r>
        <w:rPr>
          <w:rFonts w:hint="eastAsia"/>
        </w:rPr>
        <w:t>b)  用水</w:t>
      </w:r>
      <w:r>
        <w:t>部位不应</w:t>
      </w:r>
      <w:r>
        <w:rPr>
          <w:rFonts w:hint="eastAsia"/>
        </w:rPr>
        <w:t>存在</w:t>
      </w:r>
      <w:r>
        <w:t>跑冒滴漏</w:t>
      </w:r>
      <w:r>
        <w:rPr>
          <w:rFonts w:hint="eastAsia"/>
        </w:rPr>
        <w:t>。</w:t>
      </w:r>
    </w:p>
    <w:p>
      <w:pPr>
        <w:pStyle w:val="41"/>
        <w:adjustRightInd w:val="0"/>
        <w:snapToGrid w:val="0"/>
        <w:spacing w:line="440" w:lineRule="exact"/>
        <w:ind w:firstLine="420" w:firstLineChars="200"/>
        <w:rPr>
          <w:rFonts w:ascii="Times New Roman" w:hAnsi="Times New Roman" w:cs="Times New Roman"/>
          <w:snapToGrid w:val="0"/>
        </w:rPr>
      </w:pPr>
      <w:r>
        <w:rPr>
          <w:rFonts w:hint="eastAsia" w:ascii="Times New Roman" w:hAnsi="Times New Roman" w:cs="Times New Roman"/>
          <w:snapToGrid w:val="0"/>
        </w:rPr>
        <w:t>c） 符合GB/T 31436等技术要求，节水型器具普及率达到100%，并达到二级及以上水效等级，鼓励采用有节水产品认证证书，或列入国家鼓励使用目录、《节能产品政府采购清单》的节水产品和目录。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8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中央</w:t>
      </w:r>
      <w:r>
        <w:t>空调冷却补水率</w:t>
      </w:r>
    </w:p>
    <w:p>
      <w:pPr>
        <w:spacing w:line="400" w:lineRule="exact"/>
        <w:ind w:firstLine="435"/>
      </w:pPr>
      <w:r>
        <w:rPr>
          <w:rFonts w:hint="eastAsia"/>
        </w:rPr>
        <w:t>a</w:t>
      </w:r>
      <w:r>
        <w:t xml:space="preserve">)  </w:t>
      </w:r>
      <w:r>
        <w:rPr>
          <w:rFonts w:hint="eastAsia"/>
        </w:rPr>
        <w:t>中央空调冷却水应循环利用。</w:t>
      </w:r>
    </w:p>
    <w:p>
      <w:pPr>
        <w:spacing w:line="400" w:lineRule="exact"/>
        <w:ind w:firstLine="435"/>
      </w:pPr>
      <w:r>
        <w:rPr>
          <w:rFonts w:hint="eastAsia"/>
        </w:rPr>
        <w:t>b</w:t>
      </w:r>
      <w:r>
        <w:t xml:space="preserve">)  </w:t>
      </w:r>
      <w:r>
        <w:rPr>
          <w:rFonts w:hint="eastAsia"/>
        </w:rPr>
        <w:t>中央</w:t>
      </w:r>
      <w:r>
        <w:t>空调冷却补水率应小于等于</w:t>
      </w:r>
      <w:r>
        <w:rPr>
          <w:rFonts w:hint="eastAsia"/>
        </w:rPr>
        <w:t>1</w:t>
      </w:r>
      <w:r>
        <w:t>%。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9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蒸汽冷凝水</w:t>
      </w:r>
      <w:r>
        <w:t>回收率</w:t>
      </w:r>
    </w:p>
    <w:p>
      <w:pPr>
        <w:spacing w:line="400" w:lineRule="exact"/>
        <w:ind w:firstLine="435"/>
      </w:pPr>
      <w:r>
        <w:rPr>
          <w:rFonts w:hint="eastAsia"/>
        </w:rPr>
        <w:t>蒸汽冷凝水</w:t>
      </w:r>
      <w:r>
        <w:t>回收率应</w:t>
      </w:r>
      <w:r>
        <w:rPr>
          <w:rFonts w:hint="eastAsia"/>
        </w:rPr>
        <w:t>大于</w:t>
      </w:r>
      <w:r>
        <w:t>等于50%</w:t>
      </w:r>
      <w:r>
        <w:rPr>
          <w:rFonts w:hint="eastAsia"/>
        </w:rPr>
        <w:t>。</w:t>
      </w:r>
    </w:p>
    <w:p>
      <w:pPr>
        <w:spacing w:line="400" w:lineRule="exact"/>
        <w:outlineLvl w:val="1"/>
        <w:rPr>
          <w:rFonts w:ascii="黑体" w:eastAsia="黑体"/>
          <w:b/>
        </w:rPr>
      </w:pPr>
      <w:r>
        <w:rPr>
          <w:rFonts w:hint="eastAsia" w:ascii="黑体" w:eastAsia="黑体"/>
          <w:b/>
        </w:rPr>
        <w:t>4.</w:t>
      </w:r>
      <w:r>
        <w:rPr>
          <w:rFonts w:ascii="黑体" w:eastAsia="黑体"/>
          <w:b/>
        </w:rPr>
        <w:t>4</w:t>
      </w:r>
      <w:r>
        <w:rPr>
          <w:rFonts w:hint="eastAsia" w:ascii="黑体" w:eastAsia="黑体"/>
          <w:b/>
        </w:rPr>
        <w:t xml:space="preserve">  鼓励性指标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1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精细化管理</w:t>
      </w:r>
    </w:p>
    <w:p>
      <w:pPr>
        <w:pStyle w:val="41"/>
        <w:adjustRightInd w:val="0"/>
        <w:snapToGrid w:val="0"/>
        <w:spacing w:line="420" w:lineRule="exact"/>
        <w:ind w:firstLine="420" w:firstLineChars="200"/>
        <w:jc w:val="left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安装使用远程智能一级、二级水表，建设用水实时监控平台，实施用水精细化管理</w:t>
      </w:r>
      <w:r>
        <w:rPr>
          <w:rFonts w:hint="eastAsia" w:ascii="Times New Roman" w:hAnsi="Times New Roman" w:cs="Times New Roman"/>
          <w:snapToGrid w:val="0"/>
        </w:rPr>
        <w:t>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2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合同</w:t>
      </w:r>
      <w:r>
        <w:t>节水</w:t>
      </w:r>
      <w:r>
        <w:rPr>
          <w:rFonts w:hint="eastAsia"/>
        </w:rPr>
        <w:t>管理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引入社会资本，采用合同节水管理方式，实施医院节水改造或重点用水环节节水改造。</w:t>
      </w:r>
    </w:p>
    <w:p>
      <w:pPr>
        <w:spacing w:line="400" w:lineRule="exact"/>
      </w:pP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4</w:t>
      </w:r>
      <w:r>
        <w:rPr>
          <w:rFonts w:hint="eastAsia" w:ascii="黑体" w:eastAsia="黑体"/>
        </w:rPr>
        <w:t>.</w:t>
      </w:r>
      <w:r>
        <w:rPr>
          <w:rFonts w:ascii="黑体" w:eastAsia="黑体"/>
        </w:rPr>
        <w:t>3</w:t>
      </w:r>
      <w:r>
        <w:rPr>
          <w:rFonts w:hint="eastAsia" w:ascii="黑体" w:eastAsia="黑体"/>
        </w:rPr>
        <w:t xml:space="preserve">  </w:t>
      </w:r>
      <w:r>
        <w:rPr>
          <w:rFonts w:hint="eastAsia"/>
        </w:rPr>
        <w:t>技术研发及应用推广</w:t>
      </w:r>
    </w:p>
    <w:p>
      <w:pPr>
        <w:spacing w:line="400" w:lineRule="exact"/>
        <w:ind w:firstLine="420" w:firstLineChars="200"/>
        <w:outlineLvl w:val="1"/>
      </w:pPr>
      <w:r>
        <w:rPr>
          <w:rFonts w:hint="eastAsia"/>
        </w:rPr>
        <w:t>发挥医院科研优势，自主开展节水技术、产品的创新和研发，并对研发的节水技术、产品进行应用及推广。</w:t>
      </w: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br w:type="page"/>
      </w:r>
      <w:bookmarkEnd w:id="11"/>
      <w:r>
        <w:rPr>
          <w:rFonts w:eastAsia="黑体"/>
          <w:b/>
          <w:szCs w:val="21"/>
        </w:rPr>
        <w:t>附 录 A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>（规范性附录）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节水型医院</w:t>
      </w:r>
      <w:r>
        <w:rPr>
          <w:rFonts w:eastAsia="黑体"/>
          <w:b/>
          <w:szCs w:val="21"/>
        </w:rPr>
        <w:t>评价</w:t>
      </w:r>
      <w:r>
        <w:rPr>
          <w:rFonts w:hint="eastAsia" w:eastAsia="黑体"/>
          <w:b/>
          <w:szCs w:val="21"/>
        </w:rPr>
        <w:t>标准</w:t>
      </w:r>
    </w:p>
    <w:p>
      <w:pPr>
        <w:autoSpaceDE w:val="0"/>
        <w:autoSpaceDN w:val="0"/>
        <w:adjustRightInd w:val="0"/>
        <w:spacing w:line="460" w:lineRule="exac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.1</w:t>
      </w:r>
      <w:r>
        <w:rPr>
          <w:rFonts w:hint="eastAsia"/>
          <w:b/>
        </w:rPr>
        <w:t xml:space="preserve">  评价</w:t>
      </w:r>
      <w:r>
        <w:rPr>
          <w:b/>
        </w:rPr>
        <w:t>标准</w:t>
      </w:r>
    </w:p>
    <w:p>
      <w:pPr>
        <w:autoSpaceDE w:val="0"/>
        <w:autoSpaceDN w:val="0"/>
        <w:adjustRightInd w:val="0"/>
        <w:spacing w:line="400" w:lineRule="exact"/>
        <w:ind w:firstLine="420" w:firstLineChars="200"/>
      </w:pPr>
      <w:r>
        <w:rPr>
          <w:rFonts w:hint="eastAsia"/>
        </w:rPr>
        <w:t>节水型医院评价</w:t>
      </w:r>
      <w:r>
        <w:t>标准</w:t>
      </w:r>
      <w:r>
        <w:rPr>
          <w:rFonts w:hint="eastAsia"/>
        </w:rPr>
        <w:t>见表A.1。</w:t>
      </w:r>
    </w:p>
    <w:p>
      <w:pPr>
        <w:autoSpaceDE w:val="0"/>
        <w:autoSpaceDN w:val="0"/>
        <w:adjustRightInd w:val="0"/>
        <w:spacing w:after="156" w:afterLines="50"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 xml:space="preserve">表A.1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节水型医院评价标准</w:t>
      </w:r>
    </w:p>
    <w:tbl>
      <w:tblPr>
        <w:tblStyle w:val="7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727"/>
        <w:gridCol w:w="1018"/>
        <w:gridCol w:w="6393"/>
        <w:gridCol w:w="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tblHeader/>
          <w:jc w:val="center"/>
        </w:trPr>
        <w:tc>
          <w:tcPr>
            <w:tcW w:w="3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8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一级指标</w:t>
            </w:r>
          </w:p>
        </w:tc>
        <w:tc>
          <w:tcPr>
            <w:tcW w:w="5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二级</w:t>
            </w:r>
          </w:p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指标</w:t>
            </w:r>
          </w:p>
        </w:tc>
        <w:tc>
          <w:tcPr>
            <w:tcW w:w="334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评价内容及标准</w:t>
            </w:r>
          </w:p>
        </w:tc>
        <w:tc>
          <w:tcPr>
            <w:tcW w:w="37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kern w:val="0"/>
                <w:szCs w:val="21"/>
              </w:rPr>
            </w:pPr>
            <w:r>
              <w:rPr>
                <w:rFonts w:eastAsiaTheme="minorEastAsia"/>
                <w:b/>
                <w:bCs/>
                <w:kern w:val="0"/>
                <w:szCs w:val="21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管理指标</w:t>
            </w: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机构设置和制度建设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用水管理组织机构健全，明确主管领导、主管部门和管理人员，得2分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有合理的用水管理制度和用水计划，得2分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取水许可和计划用水管理资料齐全，得2分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有完整的供用水管网图、水计量器具网络图和水计量器具一览表，得2分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日常</w:t>
            </w:r>
          </w:p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管护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按照相关规定</w:t>
            </w:r>
            <w:r>
              <w:rPr>
                <w:rFonts w:hint="eastAsia" w:eastAsiaTheme="minorEastAsia"/>
                <w:kern w:val="0"/>
                <w:szCs w:val="21"/>
              </w:rPr>
              <w:t>周期</w:t>
            </w:r>
            <w:r>
              <w:rPr>
                <w:rFonts w:eastAsiaTheme="minorEastAsia"/>
                <w:kern w:val="0"/>
                <w:szCs w:val="21"/>
              </w:rPr>
              <w:t>开展过水平衡测试，得2分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定期对供、用水管道和设备进行巡查和维护检修，记录完整，得2分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用水原始记录和统计台账完整规范，得2分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针对洗涤、消毒、蒸汽、水疗等设备制定并实施有节水操作和管理规程，对制剂用水和医疗用水有特定的管理制度，得2分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</w:t>
            </w:r>
          </w:p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宣传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有年度节水宣传计划，在“世界水日”、“中国水周”、“全国城市节水宣传周”、“节能宣传周”等节水主题宣传</w:t>
            </w:r>
            <w:r>
              <w:rPr>
                <w:rFonts w:hint="eastAsia" w:eastAsiaTheme="minorEastAsia"/>
                <w:kern w:val="0"/>
                <w:szCs w:val="21"/>
              </w:rPr>
              <w:t>活动</w:t>
            </w:r>
            <w:r>
              <w:rPr>
                <w:rFonts w:eastAsiaTheme="minorEastAsia"/>
                <w:kern w:val="0"/>
                <w:szCs w:val="21"/>
              </w:rPr>
              <w:t>期间，开展集中宣传活动4次以上，得4分，少1次扣1分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制定并实施节水行为规范，在卫生间、食堂等主要用水场所和用水设施醒目位置张贴节水宣传标志或标识，得5分，少1处扣1分，扣完为止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在医院醒目位置设置固定节水宣传栏和固定节水宣传标语，每座宣传栏或每套宣传标语得1分，最高5分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利用电子显示屏或其他等媒介定期播放节水视频、音频资料，得4分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非常规水利用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配备污水处理设施，污水排放达到GB 8978和GB18918的要求，得4分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安装直饮水尾水、锅炉冷凝水和空调冷凝水回收设施，并有效利用，得4分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建设雨水集蓄设施，并有效利用，得4分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景观</w:t>
            </w:r>
          </w:p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绿化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绿化选用耐旱树木、花草，灌溉采用喷灌、微喷灌和滴灌等高效节水方式，得4分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禁止使用地下水</w:t>
            </w:r>
            <w:r>
              <w:rPr>
                <w:rFonts w:hint="eastAsia" w:eastAsiaTheme="minorEastAsia"/>
                <w:kern w:val="0"/>
                <w:szCs w:val="21"/>
              </w:rPr>
              <w:t>和</w:t>
            </w:r>
            <w:r>
              <w:rPr>
                <w:rFonts w:eastAsiaTheme="minorEastAsia"/>
                <w:kern w:val="0"/>
                <w:szCs w:val="21"/>
              </w:rPr>
              <w:t>自来水建造人造水景观，发现1例，本项不得分。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2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技术指标</w:t>
            </w: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门诊部单位人次用水量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门诊部单位人次用水量符合DB13/T 5450.2的相关规定，门诊部单位人次用水量≤先进值，得4分；先进值&lt;门诊部单位人次用水量≤通用值，按比例赋分；门诊部单位人次用水量&gt;通用值，不得分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住院部单位编制床用水量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住院部单位编制床用水量符合DB13/T 1161相关规定，住院部单位编制床用水量≤先进值，得4分；先进值&lt;住院部单位编制床用水量≤通用值，按比例赋分；住院部单位编制床用水量&gt;通用值，不得分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年用水总量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年用水总量≤地方下达的年度计划用水指标，得5分，每超过1%扣1分，扣完为止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管网漏损率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管网漏损率&lt;2%，得5分，2%≤管网漏损率≤5%，按比例赋分；管网漏损率&gt;5%，不得分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水计量器具配备率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水计量器具依据GB24789的要求配备，用水单位水计量器具配备率应达到100%，</w:t>
            </w:r>
            <w:r>
              <w:rPr>
                <w:rFonts w:hint="eastAsia" w:eastAsiaTheme="minorEastAsia"/>
                <w:kern w:val="0"/>
                <w:szCs w:val="21"/>
              </w:rPr>
              <w:t>主要</w:t>
            </w:r>
            <w:r>
              <w:rPr>
                <w:rFonts w:eastAsiaTheme="minorEastAsia"/>
                <w:kern w:val="0"/>
                <w:szCs w:val="21"/>
              </w:rPr>
              <w:t>次级用水单位和主要用水</w:t>
            </w:r>
            <w:r>
              <w:rPr>
                <w:rFonts w:hint="eastAsia" w:eastAsiaTheme="minorEastAsia"/>
                <w:kern w:val="0"/>
                <w:szCs w:val="21"/>
              </w:rPr>
              <w:t>设备</w:t>
            </w:r>
            <w:r>
              <w:rPr>
                <w:rFonts w:eastAsiaTheme="minorEastAsia"/>
                <w:kern w:val="0"/>
                <w:szCs w:val="21"/>
              </w:rPr>
              <w:t>（</w:t>
            </w:r>
            <w:r>
              <w:rPr>
                <w:rFonts w:hint="eastAsia" w:eastAsiaTheme="minorEastAsia"/>
                <w:kern w:val="0"/>
                <w:szCs w:val="21"/>
              </w:rPr>
              <w:t>用水</w:t>
            </w:r>
            <w:r>
              <w:rPr>
                <w:rFonts w:eastAsiaTheme="minorEastAsia"/>
                <w:kern w:val="0"/>
                <w:szCs w:val="21"/>
              </w:rPr>
              <w:t>系统）水计量器具配备率应达到100%，得8分，任一项不达标，不得分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医院应在供暖系统、空调系统、食堂、中水贮水池等特殊部位用水的补水管上加装水量计量仪表，对补水量进行计量。每设置一项得1分，最高得2分。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</w:t>
            </w:r>
          </w:p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量率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水计量率按照GB24789的规定执行，用水单位水计量率应达到100%，次级用水单位水计量率应不低于95%。分别达到得5分，任一项不达标，不得分</w:t>
            </w:r>
          </w:p>
        </w:tc>
        <w:tc>
          <w:tcPr>
            <w:tcW w:w="374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节水型器具普及率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禁止使用列入国家淘汰名录的用水设备和器具，发现1例，本项不得分</w:t>
            </w:r>
          </w:p>
        </w:tc>
        <w:tc>
          <w:tcPr>
            <w:tcW w:w="374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用水部位不应存在跑冒滴漏，发现1例，本项不得分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符合GB/T 31436等技术要求，节水型器具普及率达到100%，并达到二级及以上水效等级，鼓励采用有节水产品认证证书，或列入国家鼓励使用目录、《节能产品政府采购清单》的节水产品和目录。得10分，发现1例未使用，扣2分，扣完为止</w:t>
            </w:r>
          </w:p>
        </w:tc>
        <w:tc>
          <w:tcPr>
            <w:tcW w:w="374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  <w:r>
              <w:rPr>
                <w:rFonts w:eastAsiaTheme="minorEastAsia"/>
                <w:spacing w:val="-20"/>
                <w:kern w:val="0"/>
                <w:szCs w:val="21"/>
              </w:rPr>
              <w:t>中央空调冷却补水率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中央空调冷却水应循环利用，发现1例，本项不得分</w:t>
            </w:r>
          </w:p>
        </w:tc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spacing w:val="-20"/>
                <w:kern w:val="0"/>
                <w:szCs w:val="21"/>
              </w:rPr>
            </w:pP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中央空调冷却补水率小于等于1%，得4分</w:t>
            </w:r>
          </w:p>
        </w:tc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spacing w:val="-20"/>
                <w:kern w:val="0"/>
                <w:szCs w:val="21"/>
              </w:rPr>
            </w:pPr>
            <w:r>
              <w:rPr>
                <w:rFonts w:eastAsiaTheme="minorEastAsia"/>
                <w:spacing w:val="-20"/>
                <w:kern w:val="0"/>
                <w:szCs w:val="21"/>
              </w:rPr>
              <w:t>蒸汽冷凝水回收率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蒸汽冷凝水回收率大于等于50%，得3分，每低2%扣1分直至扣完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7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  <w:tc>
          <w:tcPr>
            <w:tcW w:w="38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鼓励性指标</w:t>
            </w:r>
          </w:p>
        </w:tc>
        <w:tc>
          <w:tcPr>
            <w:tcW w:w="5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精细化管理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安装使用远程智能一级、二级水表，建设用水实时监控平台，实施用水精细化管理，得3分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合同节水管理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引入社会资本，采用合同节水管理方式，实施医院整体节水改造或重点用水环节节水改造，得3分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7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38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技术研发及应用推广</w:t>
            </w:r>
          </w:p>
        </w:tc>
        <w:tc>
          <w:tcPr>
            <w:tcW w:w="334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发挥医院科研优势，自主开展节水技术、产品的创新和研发，并对研发的节水技术、产品进行应用及推广，得4分</w:t>
            </w:r>
          </w:p>
        </w:tc>
        <w:tc>
          <w:tcPr>
            <w:tcW w:w="3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kern w:val="0"/>
                <w:szCs w:val="21"/>
              </w:rPr>
            </w:pPr>
            <w:r>
              <w:rPr>
                <w:rFonts w:eastAsiaTheme="minorEastAsia"/>
                <w:kern w:val="0"/>
                <w:szCs w:val="21"/>
              </w:rPr>
              <w:t>4</w:t>
            </w:r>
          </w:p>
        </w:tc>
      </w:tr>
    </w:tbl>
    <w:p>
      <w:pPr>
        <w:autoSpaceDE w:val="0"/>
        <w:autoSpaceDN w:val="0"/>
        <w:spacing w:line="400" w:lineRule="exac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2</w:t>
      </w:r>
      <w:r>
        <w:rPr>
          <w:rFonts w:hint="eastAsia"/>
          <w:b/>
        </w:rPr>
        <w:t xml:space="preserve">  评价方法</w:t>
      </w:r>
    </w:p>
    <w:p>
      <w:pPr>
        <w:autoSpaceDE w:val="0"/>
        <w:autoSpaceDN w:val="0"/>
        <w:spacing w:line="400" w:lineRule="exact"/>
        <w:ind w:firstLine="420" w:firstLineChars="200"/>
      </w:pPr>
      <w:r>
        <w:rPr>
          <w:rFonts w:hint="eastAsia"/>
        </w:rPr>
        <w:t>节水型医院评价</w:t>
      </w:r>
      <w:r>
        <w:t>标准</w:t>
      </w:r>
      <w:r>
        <w:rPr>
          <w:rFonts w:hint="eastAsia"/>
        </w:rPr>
        <w:t>体系分为管理指标、技术指标及鼓励性指标。</w:t>
      </w:r>
    </w:p>
    <w:p>
      <w:pPr>
        <w:autoSpaceDE w:val="0"/>
        <w:autoSpaceDN w:val="0"/>
        <w:spacing w:line="400" w:lineRule="exact"/>
        <w:ind w:firstLine="420" w:firstLineChars="200"/>
        <w:rPr>
          <w:rFonts w:eastAsiaTheme="minorEastAsia"/>
          <w:snapToGrid w:val="0"/>
          <w:szCs w:val="21"/>
        </w:rPr>
      </w:pPr>
      <w:r>
        <w:rPr>
          <w:rFonts w:hint="eastAsia"/>
        </w:rPr>
        <w:t>管理指标分值5</w:t>
      </w:r>
      <w:r>
        <w:t>0</w:t>
      </w:r>
      <w:r>
        <w:rPr>
          <w:rFonts w:hint="eastAsia"/>
        </w:rPr>
        <w:t>分，技术指标分值5</w:t>
      </w:r>
      <w:r>
        <w:t>0</w:t>
      </w:r>
      <w:r>
        <w:rPr>
          <w:rFonts w:hint="eastAsia"/>
        </w:rPr>
        <w:t>分，鼓励性指标分值1</w:t>
      </w:r>
      <w:r>
        <w:t>0</w:t>
      </w:r>
      <w:r>
        <w:rPr>
          <w:rFonts w:hint="eastAsia"/>
        </w:rPr>
        <w:t>分，</w:t>
      </w:r>
      <w:r>
        <w:rPr>
          <w:rFonts w:eastAsiaTheme="minorEastAsia"/>
          <w:snapToGrid w:val="0"/>
          <w:szCs w:val="21"/>
        </w:rPr>
        <w:t>合计110分，评价指标总得分90分</w:t>
      </w:r>
      <w:r>
        <w:rPr>
          <w:rFonts w:hint="eastAsia" w:eastAsiaTheme="minorEastAsia"/>
          <w:snapToGrid w:val="0"/>
          <w:szCs w:val="21"/>
        </w:rPr>
        <w:t>及</w:t>
      </w:r>
      <w:r>
        <w:rPr>
          <w:rFonts w:eastAsiaTheme="minorEastAsia"/>
          <w:snapToGrid w:val="0"/>
          <w:szCs w:val="21"/>
        </w:rPr>
        <w:t>以上的参评单位，获评节水型</w:t>
      </w:r>
      <w:r>
        <w:rPr>
          <w:rFonts w:hint="eastAsia" w:eastAsiaTheme="minorEastAsia"/>
          <w:snapToGrid w:val="0"/>
          <w:szCs w:val="21"/>
        </w:rPr>
        <w:t>医院</w:t>
      </w:r>
      <w:r>
        <w:rPr>
          <w:rFonts w:eastAsiaTheme="minorEastAsia"/>
          <w:snapToGrid w:val="0"/>
          <w:szCs w:val="21"/>
        </w:rPr>
        <w:t>。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 w:eastAsiaTheme="minorEastAsia"/>
          <w:snapToGrid w:val="0"/>
        </w:rPr>
      </w:pPr>
      <w:r>
        <w:rPr>
          <w:rFonts w:ascii="Times New Roman" w:hAnsi="Times New Roman" w:cs="Times New Roman" w:eastAsiaTheme="minorEastAsia"/>
          <w:snapToGrid w:val="0"/>
        </w:rPr>
        <w:t>如遇缺项，则此项不得分，评价总分按照公式进行折算。折算公式为：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 w:eastAsiaTheme="minorEastAsia"/>
          <w:snapToGrid w:val="0"/>
        </w:rPr>
      </w:pPr>
      <w:r>
        <w:rPr>
          <w:rFonts w:ascii="Times New Roman" w:hAnsi="Times New Roman" w:cs="Times New Roman" w:eastAsiaTheme="minorEastAsia"/>
          <w:snapToGrid w:val="0"/>
        </w:rPr>
        <w:t>评价总分=（实际总得分-</w:t>
      </w:r>
      <w:r>
        <w:rPr>
          <w:rFonts w:hint="eastAsia" w:ascii="Times New Roman" w:hAnsi="Times New Roman" w:cs="Times New Roman" w:eastAsiaTheme="minorEastAsia"/>
          <w:snapToGrid w:val="0"/>
        </w:rPr>
        <w:t>鼓励性指标</w:t>
      </w:r>
      <w:r>
        <w:rPr>
          <w:rFonts w:ascii="Times New Roman" w:hAnsi="Times New Roman" w:cs="Times New Roman" w:eastAsiaTheme="minorEastAsia"/>
          <w:snapToGrid w:val="0"/>
        </w:rPr>
        <w:t>得分）×100/（100-缺项对应分值）+</w:t>
      </w:r>
      <w:r>
        <w:rPr>
          <w:rFonts w:hint="eastAsia" w:ascii="Times New Roman" w:hAnsi="Times New Roman" w:cs="Times New Roman" w:eastAsiaTheme="minorEastAsia"/>
          <w:snapToGrid w:val="0"/>
        </w:rPr>
        <w:t>鼓励性指标</w:t>
      </w:r>
      <w:r>
        <w:rPr>
          <w:rFonts w:ascii="Times New Roman" w:hAnsi="Times New Roman" w:cs="Times New Roman" w:eastAsiaTheme="minorEastAsia"/>
          <w:snapToGrid w:val="0"/>
        </w:rPr>
        <w:t>得分。</w:t>
      </w:r>
      <w:r>
        <w:rPr>
          <w:rFonts w:hint="eastAsia" w:ascii="Times New Roman" w:hAnsi="Times New Roman" w:cs="Times New Roman" w:eastAsiaTheme="minorEastAsia"/>
          <w:snapToGrid w:val="0"/>
        </w:rPr>
        <w:t>鼓励性指标</w:t>
      </w:r>
      <w:r>
        <w:rPr>
          <w:rFonts w:ascii="Times New Roman" w:hAnsi="Times New Roman" w:cs="Times New Roman" w:eastAsiaTheme="minorEastAsia"/>
          <w:snapToGrid w:val="0"/>
        </w:rPr>
        <w:t>不计入缺项。</w:t>
      </w:r>
    </w:p>
    <w:p>
      <w:pPr>
        <w:pStyle w:val="41"/>
        <w:spacing w:line="400" w:lineRule="exact"/>
        <w:ind w:firstLine="420" w:firstLineChars="200"/>
        <w:jc w:val="left"/>
        <w:rPr>
          <w:rFonts w:ascii="Times New Roman" w:hAnsi="Times New Roman" w:cs="Times New Roman" w:eastAsiaTheme="minorEastAsia"/>
          <w:snapToGrid w:val="0"/>
        </w:rPr>
      </w:pPr>
      <w:r>
        <w:rPr>
          <w:rFonts w:ascii="Times New Roman" w:hAnsi="Times New Roman" w:cs="Times New Roman" w:eastAsiaTheme="minorEastAsia"/>
          <w:snapToGrid w:val="0"/>
        </w:rPr>
        <w:t>评价时采取现场查看、听取汇报及查阅资料等方式，对各项指标分别赋分。</w:t>
      </w:r>
    </w:p>
    <w:p>
      <w:pPr>
        <w:autoSpaceDE w:val="0"/>
        <w:autoSpaceDN w:val="0"/>
        <w:spacing w:line="400" w:lineRule="exact"/>
        <w:rPr>
          <w:rFonts w:eastAsia="黑体"/>
          <w:b/>
          <w:szCs w:val="21"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</w:t>
      </w:r>
      <w:r>
        <w:rPr>
          <w:rFonts w:hint="eastAsia"/>
          <w:b/>
        </w:rPr>
        <w:t xml:space="preserve">  技术</w:t>
      </w:r>
      <w:r>
        <w:rPr>
          <w:b/>
        </w:rPr>
        <w:t>指标</w:t>
      </w:r>
      <w:r>
        <w:rPr>
          <w:rFonts w:hint="eastAsia"/>
          <w:b/>
        </w:rPr>
        <w:t>计算方法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3.1</w:t>
      </w:r>
      <w:r>
        <w:rPr>
          <w:rFonts w:hint="eastAsia"/>
          <w:b/>
        </w:rPr>
        <w:t xml:space="preserve">  门诊部单位人次用水量</w:t>
      </w:r>
    </w:p>
    <w:p>
      <w:pPr>
        <w:spacing w:line="400" w:lineRule="exact"/>
        <w:ind w:firstLine="420" w:firstLineChars="200"/>
        <w:jc w:val="left"/>
        <w:rPr>
          <w:bCs/>
        </w:rPr>
      </w:pPr>
      <w:r>
        <w:rPr>
          <w:rFonts w:hint="eastAsia"/>
          <w:bCs/>
        </w:rPr>
        <w:t>门诊部单位人次用水量按式（A</w:t>
      </w:r>
      <w:r>
        <w:rPr>
          <w:bCs/>
        </w:rPr>
        <w:t>.1</w:t>
      </w:r>
      <w:r>
        <w:rPr>
          <w:rFonts w:hint="eastAsia"/>
          <w:bCs/>
        </w:rPr>
        <w:t>）计算：</w:t>
      </w:r>
    </w:p>
    <w:p>
      <w:pPr>
        <w:spacing w:line="400" w:lineRule="exact"/>
        <w:ind w:firstLine="4200" w:firstLineChars="20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ov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/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1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</w:t>
      </w:r>
      <w:r>
        <w:rPr>
          <w:bCs/>
          <w:szCs w:val="21"/>
        </w:rPr>
        <w:t>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ov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门诊部单位人次用水量</w:t>
      </w:r>
      <w:r>
        <w:rPr>
          <w:rFonts w:hint="eastAsia"/>
          <w:bCs/>
          <w:szCs w:val="21"/>
        </w:rPr>
        <w:t>（m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/人）；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门诊部用水量（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o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评价年门诊部人数（</w:t>
      </w:r>
      <w:r>
        <w:rPr>
          <w:rFonts w:hint="eastAsia"/>
          <w:bCs/>
          <w:szCs w:val="21"/>
        </w:rPr>
        <w:t>人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3.2</w:t>
      </w:r>
      <w:r>
        <w:rPr>
          <w:rFonts w:hint="eastAsia"/>
          <w:b/>
        </w:rPr>
        <w:t xml:space="preserve">  住院部单位编制床用水量</w:t>
      </w:r>
    </w:p>
    <w:p>
      <w:pPr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住院部单位编制床用水量按式（A</w:t>
      </w:r>
      <w:r>
        <w:rPr>
          <w:bCs/>
        </w:rPr>
        <w:t>.2</w:t>
      </w:r>
      <w:r>
        <w:rPr>
          <w:rFonts w:hint="eastAsia"/>
          <w:bCs/>
        </w:rPr>
        <w:t>）计算：</w:t>
      </w:r>
    </w:p>
    <w:p>
      <w:pPr>
        <w:spacing w:line="400" w:lineRule="exact"/>
        <w:ind w:firstLine="3885" w:firstLineChars="185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iv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/(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×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)</m:t>
        </m:r>
      </m:oMath>
      <w:r>
        <w:rPr>
          <w:rFonts w:hint="eastAsia"/>
          <w:bCs/>
          <w:szCs w:val="21"/>
        </w:rPr>
        <w:t xml:space="preserve"> …………………………………（A.</w:t>
      </w:r>
      <w:r>
        <w:rPr>
          <w:bCs/>
          <w:szCs w:val="21"/>
        </w:rPr>
        <w:t>2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</w:t>
      </w:r>
      <w:r>
        <w:rPr>
          <w:bCs/>
          <w:szCs w:val="21"/>
        </w:rPr>
        <w:t>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iv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住院部单位</w:t>
      </w:r>
      <w:r>
        <w:rPr>
          <w:rFonts w:hint="eastAsia"/>
          <w:bCs/>
          <w:szCs w:val="21"/>
        </w:rPr>
        <w:t>编制</w:t>
      </w:r>
      <w:r>
        <w:rPr>
          <w:bCs/>
          <w:szCs w:val="21"/>
        </w:rPr>
        <w:t>床用水量（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/床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评价年住院部用水量（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评价年住院部编制床数（</w:t>
      </w:r>
      <w:r>
        <w:rPr>
          <w:rFonts w:hint="eastAsia"/>
          <w:bCs/>
          <w:szCs w:val="21"/>
        </w:rPr>
        <w:t>床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评价年住院部编制</w:t>
      </w:r>
      <w:r>
        <w:rPr>
          <w:rFonts w:hint="eastAsia"/>
          <w:bCs/>
          <w:szCs w:val="21"/>
        </w:rPr>
        <w:t>床</w:t>
      </w:r>
      <w:r>
        <w:rPr>
          <w:bCs/>
          <w:szCs w:val="21"/>
        </w:rPr>
        <w:t>使用率，</w:t>
      </w:r>
      <w:r>
        <w:rPr>
          <w:rFonts w:hint="eastAsia"/>
          <w:bCs/>
          <w:szCs w:val="21"/>
        </w:rPr>
        <w:t>即每天</w:t>
      </w:r>
      <w:r>
        <w:rPr>
          <w:bCs/>
          <w:szCs w:val="21"/>
        </w:rPr>
        <w:t>使用</w:t>
      </w:r>
      <w:r>
        <w:rPr>
          <w:rFonts w:hint="eastAsia"/>
          <w:bCs/>
          <w:szCs w:val="21"/>
        </w:rPr>
        <w:t>编制</w:t>
      </w:r>
      <w:r>
        <w:rPr>
          <w:bCs/>
          <w:szCs w:val="21"/>
        </w:rPr>
        <w:t>床位</w:t>
      </w:r>
      <w:r>
        <w:rPr>
          <w:rFonts w:hint="eastAsia"/>
          <w:bCs/>
          <w:szCs w:val="21"/>
        </w:rPr>
        <w:t>与</w:t>
      </w:r>
      <w:r>
        <w:rPr>
          <w:bCs/>
          <w:szCs w:val="21"/>
        </w:rPr>
        <w:t>实</w:t>
      </w:r>
      <w:r>
        <w:rPr>
          <w:rFonts w:hint="eastAsia"/>
          <w:bCs/>
          <w:szCs w:val="21"/>
        </w:rPr>
        <w:t>有</w:t>
      </w:r>
      <w:r>
        <w:rPr>
          <w:bCs/>
          <w:szCs w:val="21"/>
        </w:rPr>
        <w:t>编制床位的比率，等于实际占用的</w:t>
      </w:r>
      <w:r>
        <w:rPr>
          <w:rFonts w:hint="eastAsia"/>
          <w:bCs/>
          <w:szCs w:val="21"/>
        </w:rPr>
        <w:t>总</w:t>
      </w:r>
      <w:r>
        <w:rPr>
          <w:bCs/>
          <w:szCs w:val="21"/>
        </w:rPr>
        <w:t>编制床</w:t>
      </w:r>
      <w:r>
        <w:rPr>
          <w:rFonts w:hint="eastAsia"/>
          <w:bCs/>
          <w:szCs w:val="21"/>
        </w:rPr>
        <w:t>数目</w:t>
      </w:r>
      <w:r>
        <w:rPr>
          <w:bCs/>
          <w:szCs w:val="21"/>
        </w:rPr>
        <w:t>与实际开放的总编制床数目之比。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3.3</w:t>
      </w:r>
      <w:r>
        <w:rPr>
          <w:rFonts w:hint="eastAsia"/>
          <w:b/>
        </w:rPr>
        <w:t xml:space="preserve">  管网漏损率</w:t>
      </w:r>
    </w:p>
    <w:p>
      <w:pPr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管网漏损率按式（A</w:t>
      </w:r>
      <w:r>
        <w:rPr>
          <w:bCs/>
        </w:rPr>
        <w:t>.3</w:t>
      </w:r>
      <w:r>
        <w:rPr>
          <w:rFonts w:hint="eastAsia"/>
          <w:bCs/>
        </w:rPr>
        <w:t>）计算：</w:t>
      </w:r>
    </w:p>
    <w:p>
      <w:pPr>
        <w:spacing w:line="400" w:lineRule="exact"/>
        <w:ind w:firstLine="3255" w:firstLineChars="155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wl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(Q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−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a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)/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………………………………（A.</w:t>
      </w:r>
      <w:r>
        <w:rPr>
          <w:bCs/>
          <w:szCs w:val="21"/>
        </w:rPr>
        <w:t>3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wl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管网漏损率（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——用水总量，</w:t>
      </w:r>
      <w:r>
        <w:rPr>
          <w:bCs/>
          <w:szCs w:val="21"/>
        </w:rPr>
        <w:t>即</w:t>
      </w:r>
      <w:r>
        <w:rPr>
          <w:rFonts w:hint="eastAsia"/>
          <w:bCs/>
          <w:szCs w:val="21"/>
        </w:rPr>
        <w:t>一级表</w:t>
      </w:r>
      <w:r>
        <w:rPr>
          <w:bCs/>
          <w:szCs w:val="21"/>
        </w:rPr>
        <w:t>的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a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——次级表</w:t>
      </w:r>
      <w:r>
        <w:rPr>
          <w:bCs/>
          <w:szCs w:val="21"/>
        </w:rPr>
        <w:t>的水量</w:t>
      </w:r>
      <w:r>
        <w:rPr>
          <w:rFonts w:hint="eastAsia"/>
          <w:bCs/>
          <w:szCs w:val="21"/>
        </w:rPr>
        <w:t>（m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</w:t>
      </w:r>
    </w:p>
    <w:p>
      <w:pPr>
        <w:spacing w:line="400" w:lineRule="exact"/>
        <w:jc w:val="left"/>
        <w:rPr>
          <w:rFonts w:ascii="黑体" w:eastAsia="黑体"/>
          <w:b/>
        </w:rPr>
      </w:pPr>
      <w:r>
        <w:rPr>
          <w:rFonts w:ascii="黑体" w:eastAsia="黑体"/>
          <w:b/>
        </w:rPr>
        <w:t>A.3.4  水计量器具配备率</w:t>
      </w:r>
    </w:p>
    <w:p>
      <w:pPr>
        <w:pStyle w:val="100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 w:eastAsiaTheme="minorEastAsia"/>
          <w:szCs w:val="21"/>
        </w:rPr>
      </w:pPr>
      <w:r>
        <w:rPr>
          <w:rFonts w:ascii="Times New Roman" w:eastAsiaTheme="minorEastAsia"/>
          <w:szCs w:val="21"/>
        </w:rPr>
        <w:t>水计量器具配备率按式（A.4）计算：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4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p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——水计量</w:t>
      </w:r>
      <w:r>
        <w:rPr>
          <w:bCs/>
          <w:szCs w:val="21"/>
        </w:rPr>
        <w:t>器具</w:t>
      </w:r>
      <w:r>
        <w:rPr>
          <w:rFonts w:hint="eastAsia"/>
          <w:bCs/>
          <w:szCs w:val="21"/>
        </w:rPr>
        <w:t>配备率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</w:t>
      </w:r>
      <w:r>
        <w:rPr>
          <w:bCs/>
          <w:szCs w:val="21"/>
        </w:rPr>
        <w:t>实际</w:t>
      </w:r>
      <w:r>
        <w:rPr>
          <w:rFonts w:hint="eastAsia"/>
          <w:bCs/>
          <w:szCs w:val="21"/>
        </w:rPr>
        <w:t>安装</w:t>
      </w:r>
      <w:r>
        <w:rPr>
          <w:bCs/>
          <w:szCs w:val="21"/>
        </w:rPr>
        <w:t>配备的水计量器具</w:t>
      </w:r>
      <w:r>
        <w:rPr>
          <w:rFonts w:hint="eastAsia"/>
          <w:bCs/>
          <w:szCs w:val="21"/>
        </w:rPr>
        <w:t>数量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rFonts w:eastAsiaTheme="minorEastAsia"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</w:t>
      </w:r>
      <w:r>
        <w:rPr>
          <w:rFonts w:hint="eastAsia"/>
          <w:bCs/>
          <w:szCs w:val="21"/>
        </w:rPr>
        <w:t>某</w:t>
      </w:r>
      <w:r>
        <w:rPr>
          <w:bCs/>
          <w:szCs w:val="21"/>
        </w:rPr>
        <w:t>计量</w:t>
      </w:r>
      <w:r>
        <w:rPr>
          <w:rFonts w:hint="eastAsia"/>
          <w:bCs/>
          <w:szCs w:val="21"/>
        </w:rPr>
        <w:t>层次测量</w:t>
      </w:r>
      <w:r>
        <w:rPr>
          <w:bCs/>
          <w:szCs w:val="21"/>
        </w:rPr>
        <w:t>全部</w:t>
      </w:r>
      <w:r>
        <w:rPr>
          <w:rFonts w:hint="eastAsia"/>
          <w:bCs/>
          <w:szCs w:val="21"/>
        </w:rPr>
        <w:t>水量</w:t>
      </w:r>
      <w:r>
        <w:rPr>
          <w:bCs/>
          <w:szCs w:val="21"/>
        </w:rPr>
        <w:t>所需配备的水计量器具</w:t>
      </w:r>
      <w:r>
        <w:rPr>
          <w:rFonts w:hint="eastAsia"/>
          <w:bCs/>
          <w:szCs w:val="21"/>
        </w:rPr>
        <w:t>数量（件）。</w:t>
      </w:r>
    </w:p>
    <w:p>
      <w:pPr>
        <w:pStyle w:val="100"/>
        <w:tabs>
          <w:tab w:val="center" w:pos="4201"/>
          <w:tab w:val="right" w:leader="dot" w:pos="9298"/>
        </w:tabs>
        <w:spacing w:line="400" w:lineRule="exact"/>
        <w:ind w:firstLine="0" w:firstLineChars="0"/>
        <w:rPr>
          <w:rFonts w:ascii="Times New Roman" w:eastAsiaTheme="minorEastAsia"/>
          <w:szCs w:val="21"/>
        </w:rPr>
      </w:pPr>
      <w:r>
        <w:rPr>
          <w:rFonts w:hint="eastAsia" w:ascii="Times New Roman" w:eastAsiaTheme="minorEastAsia"/>
          <w:szCs w:val="21"/>
        </w:rPr>
        <w:t>注：</w:t>
      </w:r>
      <w:r>
        <w:rPr>
          <w:rFonts w:ascii="Times New Roman" w:eastAsiaTheme="minorEastAsia"/>
          <w:szCs w:val="21"/>
        </w:rPr>
        <w:t>计量层次有分户计量、分区计量和主要用水设备计量</w:t>
      </w:r>
      <w:r>
        <w:rPr>
          <w:rFonts w:hint="eastAsia" w:ascii="Times New Roman" w:eastAsiaTheme="minorEastAsia"/>
          <w:szCs w:val="21"/>
        </w:rPr>
        <w:t>。</w:t>
      </w:r>
    </w:p>
    <w:p>
      <w:pPr>
        <w:spacing w:line="400" w:lineRule="exact"/>
        <w:jc w:val="left"/>
        <w:rPr>
          <w:rFonts w:ascii="黑体" w:eastAsia="黑体"/>
          <w:b/>
        </w:rPr>
      </w:pPr>
      <w:r>
        <w:rPr>
          <w:rFonts w:ascii="黑体" w:eastAsia="黑体"/>
          <w:b/>
        </w:rPr>
        <w:t>A.3.5  水</w:t>
      </w:r>
      <w:r>
        <w:rPr>
          <w:rFonts w:hint="eastAsia" w:ascii="黑体" w:eastAsia="黑体"/>
          <w:b/>
        </w:rPr>
        <w:t>计量</w:t>
      </w:r>
      <w:r>
        <w:rPr>
          <w:rFonts w:ascii="黑体" w:eastAsia="黑体"/>
          <w:b/>
        </w:rPr>
        <w:t>率</w:t>
      </w:r>
    </w:p>
    <w:p>
      <w:pPr>
        <w:pStyle w:val="100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/>
          <w:szCs w:val="21"/>
        </w:rPr>
      </w:pPr>
      <w:r>
        <w:rPr>
          <w:rFonts w:ascii="Times New Roman"/>
          <w:szCs w:val="21"/>
        </w:rPr>
        <w:t>水计量率按式（A.3）计算：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mi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5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K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——水计量率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mi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——在一定计量时间内，水计量器具计量的水量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m</w:t>
      </w:r>
      <w:r>
        <w:rPr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——在一定计量时间内，总水量（m</w:t>
      </w:r>
      <w:r>
        <w:rPr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</w:t>
      </w:r>
    </w:p>
    <w:p>
      <w:pPr>
        <w:spacing w:line="400" w:lineRule="exact"/>
        <w:jc w:val="left"/>
        <w:rPr>
          <w:rFonts w:ascii="黑体" w:eastAsia="黑体"/>
          <w:b/>
        </w:rPr>
      </w:pPr>
      <w:r>
        <w:rPr>
          <w:rFonts w:ascii="黑体" w:eastAsia="黑体"/>
          <w:b/>
        </w:rPr>
        <w:t>A.3.6  节水型器具普及率</w:t>
      </w:r>
    </w:p>
    <w:p>
      <w:pPr>
        <w:pStyle w:val="100"/>
        <w:tabs>
          <w:tab w:val="center" w:pos="4201"/>
          <w:tab w:val="right" w:leader="dot" w:pos="9298"/>
        </w:tabs>
        <w:spacing w:line="400" w:lineRule="exact"/>
        <w:ind w:firstLine="420"/>
        <w:jc w:val="left"/>
        <w:rPr>
          <w:rFonts w:ascii="Times New Roman" w:eastAsiaTheme="minorEastAsia"/>
          <w:szCs w:val="21"/>
        </w:rPr>
      </w:pPr>
      <w:r>
        <w:rPr>
          <w:rFonts w:ascii="Times New Roman" w:eastAsiaTheme="minorEastAsia"/>
          <w:szCs w:val="21"/>
        </w:rPr>
        <w:t>节水型器具普及率按式（A.5）计算：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is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N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i</m:t>
                </m:r>
                <m:ctrlPr>
                  <w:rPr>
                    <w:rFonts w:ascii="Cambria Math" w:hAnsi="Cambria Math"/>
                    <w:bCs/>
                    <w:i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×100%</m:t>
        </m:r>
      </m:oMath>
      <w:r>
        <w:rPr>
          <w:rFonts w:hint="eastAsia"/>
          <w:bCs/>
          <w:szCs w:val="21"/>
        </w:rPr>
        <w:t>………………………………………（A.</w:t>
      </w:r>
      <w:r>
        <w:rPr>
          <w:bCs/>
          <w:szCs w:val="21"/>
        </w:rPr>
        <w:t>6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——节水型</w:t>
      </w:r>
      <w:r>
        <w:rPr>
          <w:bCs/>
          <w:szCs w:val="21"/>
        </w:rPr>
        <w:t>器具普及率（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is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单位实际安装</w:t>
      </w:r>
      <w:r>
        <w:rPr>
          <w:rFonts w:hint="eastAsia"/>
          <w:bCs/>
          <w:szCs w:val="21"/>
        </w:rPr>
        <w:t>使用</w:t>
      </w:r>
      <w:r>
        <w:rPr>
          <w:bCs/>
          <w:szCs w:val="21"/>
        </w:rPr>
        <w:t>的节水型器具数量（</w:t>
      </w:r>
      <w:r>
        <w:rPr>
          <w:rFonts w:hint="eastAsia"/>
          <w:bCs/>
          <w:szCs w:val="21"/>
        </w:rPr>
        <w:t>件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rFonts w:eastAsiaTheme="minorEastAsia"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N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i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——评价年</w:t>
      </w:r>
      <w:r>
        <w:rPr>
          <w:bCs/>
          <w:szCs w:val="21"/>
        </w:rPr>
        <w:t>单位实际使用的总用水器具</w:t>
      </w:r>
      <w:r>
        <w:rPr>
          <w:rFonts w:hint="eastAsia"/>
          <w:bCs/>
          <w:szCs w:val="21"/>
        </w:rPr>
        <w:t>数量（件）。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3.7</w:t>
      </w:r>
      <w:r>
        <w:rPr>
          <w:rFonts w:hint="eastAsia"/>
          <w:b/>
        </w:rPr>
        <w:t xml:space="preserve">  中央空调冷却补水率（小时流量）</w:t>
      </w:r>
    </w:p>
    <w:p>
      <w:pPr>
        <w:spacing w:line="400" w:lineRule="exact"/>
        <w:ind w:firstLine="420" w:firstLineChars="200"/>
        <w:jc w:val="left"/>
        <w:rPr>
          <w:bCs/>
        </w:rPr>
      </w:pPr>
      <w:r>
        <w:rPr>
          <w:rFonts w:hint="eastAsia"/>
          <w:bCs/>
        </w:rPr>
        <w:t>中央空调冷却补水率（小时流量）按式（A</w:t>
      </w:r>
      <w:r>
        <w:rPr>
          <w:bCs/>
        </w:rPr>
        <w:t>.6</w:t>
      </w:r>
      <w:r>
        <w:rPr>
          <w:rFonts w:hint="eastAsia"/>
          <w:bCs/>
        </w:rPr>
        <w:t>）计算：</w:t>
      </w:r>
    </w:p>
    <w:p>
      <w:pPr>
        <w:spacing w:line="400" w:lineRule="exact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η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/</m:t>
        </m:r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c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×100</m:t>
        </m:r>
      </m:oMath>
      <w:r>
        <w:rPr>
          <w:rFonts w:hint="eastAsia"/>
          <w:bCs/>
          <w:szCs w:val="21"/>
        </w:rPr>
        <w:t>%……………………………………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A.</w:t>
      </w:r>
      <w:r>
        <w:rPr>
          <w:bCs/>
          <w:szCs w:val="21"/>
        </w:rPr>
        <w:t>7）</w:t>
      </w:r>
    </w:p>
    <w:p>
      <w:pPr>
        <w:spacing w:line="400" w:lineRule="exact"/>
        <w:jc w:val="left"/>
        <w:rPr>
          <w:bCs/>
        </w:rPr>
      </w:pPr>
      <w:r>
        <w:rPr>
          <w:rFonts w:hint="eastAsia"/>
          <w:bCs/>
        </w:rPr>
        <w:t>式中</w:t>
      </w:r>
      <w:r>
        <w:rPr>
          <w:bCs/>
        </w:rPr>
        <w:t>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η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——中央</w:t>
      </w:r>
      <w:r>
        <w:rPr>
          <w:bCs/>
          <w:szCs w:val="21"/>
        </w:rPr>
        <w:t>空调冷却补水率（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</w:t>
      </w:r>
      <w:r>
        <w:rPr>
          <w:bCs/>
          <w:szCs w:val="21"/>
        </w:rPr>
        <w:t>年单位</w:t>
      </w:r>
      <w:r>
        <w:rPr>
          <w:rFonts w:hint="eastAsia"/>
          <w:bCs/>
          <w:szCs w:val="21"/>
        </w:rPr>
        <w:t>中央</w:t>
      </w:r>
      <w:r>
        <w:rPr>
          <w:bCs/>
          <w:szCs w:val="21"/>
        </w:rPr>
        <w:t>空调冷却塔补水量（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Q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c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——评价</w:t>
      </w:r>
      <w:r>
        <w:rPr>
          <w:bCs/>
          <w:szCs w:val="21"/>
        </w:rPr>
        <w:t>年单位中央空调冷却塔总循环水量（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。</w:t>
      </w:r>
    </w:p>
    <w:p>
      <w:pPr>
        <w:spacing w:line="400" w:lineRule="exact"/>
        <w:jc w:val="left"/>
        <w:rPr>
          <w:b/>
        </w:rPr>
      </w:pPr>
      <w:r>
        <w:rPr>
          <w:rFonts w:ascii="黑体" w:eastAsia="黑体"/>
          <w:b/>
        </w:rPr>
        <w:t>A</w:t>
      </w:r>
      <w:r>
        <w:rPr>
          <w:rFonts w:hint="eastAsia" w:ascii="黑体" w:eastAsia="黑体"/>
          <w:b/>
        </w:rPr>
        <w:t>.</w:t>
      </w:r>
      <w:r>
        <w:rPr>
          <w:rFonts w:ascii="黑体" w:eastAsia="黑体"/>
          <w:b/>
        </w:rPr>
        <w:t>3.8</w:t>
      </w:r>
      <w:r>
        <w:rPr>
          <w:rFonts w:hint="eastAsia"/>
          <w:b/>
        </w:rPr>
        <w:t xml:space="preserve">  蒸汽冷凝水回收率</w:t>
      </w:r>
    </w:p>
    <w:p>
      <w:pPr>
        <w:spacing w:line="400" w:lineRule="exact"/>
        <w:ind w:firstLine="420"/>
        <w:jc w:val="left"/>
        <w:rPr>
          <w:bCs/>
        </w:rPr>
      </w:pPr>
      <w:r>
        <w:rPr>
          <w:rFonts w:hint="eastAsia"/>
          <w:bCs/>
        </w:rPr>
        <w:t>蒸汽冷凝水回收率按式（A</w:t>
      </w:r>
      <w:r>
        <w:rPr>
          <w:bCs/>
        </w:rPr>
        <w:t>.7</w:t>
      </w:r>
      <w:r>
        <w:rPr>
          <w:rFonts w:hint="eastAsia"/>
          <w:bCs/>
        </w:rPr>
        <w:t>）计算：</w:t>
      </w:r>
    </w:p>
    <w:p>
      <w:pPr>
        <w:spacing w:line="360" w:lineRule="auto"/>
        <w:ind w:firstLine="3780" w:firstLineChars="1800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  <m:r>
          <m:rPr/>
          <w:rPr>
            <w:rFonts w:ascii="Cambria Math" w:hAnsi="Cambria Math"/>
            <w:szCs w:val="21"/>
          </w:rPr>
          <m:t>=</m:t>
        </m:r>
        <m:f>
          <m:fPr>
            <m:ctrlPr>
              <w:rPr>
                <w:rFonts w:ascii="Cambria Math" w:hAnsi="Cambria Math"/>
                <w:bCs/>
                <w:i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  <w:szCs w:val="21"/>
                  </w:rPr>
                </m:ctrlPr>
              </m:sSubPr>
              <m:e>
                <m:r>
                  <m:rPr/>
                  <w:rPr>
                    <w:rFonts w:ascii="Cambria Math" w:hAnsi="Cambria Math"/>
                    <w:szCs w:val="21"/>
                  </w:rPr>
                  <m:t>V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e>
              <m:sub>
                <m:r>
                  <m:rPr/>
                  <w:rPr>
                    <w:rFonts w:ascii="Cambria Math" w:hAnsi="Cambria Math"/>
                    <w:szCs w:val="21"/>
                  </w:rPr>
                  <m:t>br</m:t>
                </m:r>
                <m:ctrlPr>
                  <w:rPr>
                    <w:rFonts w:ascii="Cambria Math" w:hAnsi="Cambria Math"/>
                    <w:bCs/>
                    <w:szCs w:val="21"/>
                  </w:rPr>
                </m:ctrlPr>
              </m:sub>
            </m:sSub>
            <m:ctrlPr>
              <w:rPr>
                <w:rFonts w:ascii="Cambria Math" w:hAnsi="Cambria Math"/>
                <w:bCs/>
                <w:i/>
                <w:szCs w:val="21"/>
              </w:rPr>
            </m:ctrlPr>
          </m:num>
          <m:den>
            <m:r>
              <m:rPr/>
              <w:rPr>
                <w:rFonts w:ascii="Cambria Math" w:hAnsi="Cambria Math"/>
                <w:szCs w:val="21"/>
              </w:rPr>
              <m:t>D</m:t>
            </m:r>
            <m:ctrlPr>
              <w:rPr>
                <w:rFonts w:ascii="Cambria Math" w:hAnsi="Cambria Math"/>
                <w:bCs/>
                <w:i/>
                <w:szCs w:val="21"/>
              </w:rPr>
            </m:ctrlPr>
          </m:den>
        </m:f>
        <m:r>
          <m:rPr/>
          <w:rPr>
            <w:rFonts w:ascii="Cambria Math" w:hAnsi="Cambria Math"/>
            <w:szCs w:val="21"/>
          </w:rPr>
          <m:t>×ρ×100%</m:t>
        </m:r>
      </m:oMath>
      <w:r>
        <w:rPr>
          <w:rFonts w:hint="eastAsia"/>
          <w:bCs/>
          <w:szCs w:val="21"/>
        </w:rPr>
        <w:t>……………………………………（A.</w:t>
      </w:r>
      <w:r>
        <w:rPr>
          <w:bCs/>
          <w:szCs w:val="21"/>
        </w:rPr>
        <w:t>8</w:t>
      </w:r>
      <w:r>
        <w:rPr>
          <w:rFonts w:hint="eastAsia"/>
          <w:bCs/>
          <w:szCs w:val="21"/>
        </w:rPr>
        <w:t>）</w:t>
      </w:r>
    </w:p>
    <w:p>
      <w:pPr>
        <w:spacing w:line="400" w:lineRule="exact"/>
        <w:jc w:val="left"/>
        <w:rPr>
          <w:bCs/>
          <w:szCs w:val="21"/>
        </w:rPr>
      </w:pPr>
      <w:r>
        <w:rPr>
          <w:rFonts w:hint="eastAsia"/>
          <w:bCs/>
          <w:szCs w:val="21"/>
        </w:rPr>
        <w:t>式中：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R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蒸汽冷凝水</w:t>
      </w:r>
      <w:r>
        <w:rPr>
          <w:rFonts w:hint="eastAsia"/>
          <w:bCs/>
          <w:szCs w:val="21"/>
        </w:rPr>
        <w:t>回收率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%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评价年单位蒸汽冷凝水</w:t>
      </w:r>
      <w:r>
        <w:rPr>
          <w:rFonts w:hint="eastAsia"/>
          <w:bCs/>
          <w:szCs w:val="21"/>
        </w:rPr>
        <w:t>回收</w:t>
      </w:r>
      <w:r>
        <w:rPr>
          <w:bCs/>
          <w:szCs w:val="21"/>
        </w:rPr>
        <w:t>量（</w:t>
      </w:r>
      <w:r>
        <w:rPr>
          <w:rFonts w:hint="eastAsia"/>
          <w:bCs/>
          <w:szCs w:val="21"/>
        </w:rPr>
        <w:t>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r>
          <m:rPr/>
          <w:rPr>
            <w:rFonts w:ascii="Cambria Math" w:hAnsi="Cambria Math"/>
            <w:szCs w:val="21"/>
          </w:rPr>
          <m:t>D</m:t>
        </m:r>
      </m:oMath>
      <w:r>
        <w:rPr>
          <w:rFonts w:hint="eastAsia"/>
          <w:bCs/>
          <w:szCs w:val="21"/>
        </w:rPr>
        <w:t>——</w:t>
      </w:r>
      <w:r>
        <w:rPr>
          <w:bCs/>
          <w:szCs w:val="21"/>
        </w:rPr>
        <w:t>评价年单位</w:t>
      </w:r>
      <w:r>
        <w:rPr>
          <w:rFonts w:hint="eastAsia"/>
          <w:bCs/>
          <w:szCs w:val="21"/>
        </w:rPr>
        <w:t>产汽设备</w:t>
      </w:r>
      <w:r>
        <w:rPr>
          <w:bCs/>
          <w:szCs w:val="21"/>
        </w:rPr>
        <w:t>的</w:t>
      </w:r>
      <w:r>
        <w:rPr>
          <w:rFonts w:hint="eastAsia"/>
          <w:bCs/>
          <w:szCs w:val="21"/>
        </w:rPr>
        <w:t>产气量</w:t>
      </w:r>
      <w:r>
        <w:rPr>
          <w:bCs/>
          <w:szCs w:val="21"/>
        </w:rPr>
        <w:t>（</w:t>
      </w:r>
      <w:r>
        <w:rPr>
          <w:rFonts w:hint="eastAsia"/>
          <w:bCs/>
          <w:szCs w:val="21"/>
        </w:rPr>
        <w:t>t/h</w:t>
      </w:r>
      <w:r>
        <w:rPr>
          <w:bCs/>
          <w:szCs w:val="21"/>
        </w:rPr>
        <w:t>）</w:t>
      </w:r>
      <w:r>
        <w:rPr>
          <w:rFonts w:hint="eastAsia"/>
          <w:bCs/>
          <w:szCs w:val="21"/>
        </w:rPr>
        <w:t>；</w:t>
      </w:r>
    </w:p>
    <w:p>
      <w:pPr>
        <w:spacing w:line="400" w:lineRule="exact"/>
        <w:jc w:val="left"/>
        <w:rPr>
          <w:bCs/>
          <w:szCs w:val="21"/>
        </w:rPr>
      </w:pP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——冷凝</w:t>
      </w:r>
      <w:r>
        <w:rPr>
          <w:bCs/>
          <w:szCs w:val="21"/>
        </w:rPr>
        <w:t>水体积质量</w:t>
      </w:r>
      <w:r>
        <w:rPr>
          <w:rFonts w:hint="eastAsia"/>
          <w:bCs/>
          <w:szCs w:val="21"/>
        </w:rPr>
        <w:t>（t/m</w:t>
      </w:r>
      <w:r>
        <w:rPr>
          <w:rFonts w:hint="eastAsia"/>
          <w:bCs/>
          <w:szCs w:val="21"/>
          <w:vertAlign w:val="superscript"/>
        </w:rPr>
        <w:t>3</w:t>
      </w:r>
      <w:r>
        <w:rPr>
          <w:rFonts w:hint="eastAsia"/>
          <w:bCs/>
          <w:szCs w:val="21"/>
        </w:rPr>
        <w:t>）。注：</w:t>
      </w:r>
      <m:oMath>
        <m:sSub>
          <m:sSubPr>
            <m:ctrlPr>
              <w:rPr>
                <w:rFonts w:ascii="Cambria Math" w:hAnsi="Cambria Math"/>
                <w:bCs/>
                <w:szCs w:val="21"/>
              </w:rPr>
            </m:ctrlPr>
          </m:sSubPr>
          <m:e>
            <m:r>
              <m:rPr/>
              <w:rPr>
                <w:rFonts w:ascii="Cambria Math" w:hAnsi="Cambria Math"/>
                <w:szCs w:val="21"/>
              </w:rPr>
              <m:t>V</m:t>
            </m:r>
            <m:ctrlPr>
              <w:rPr>
                <w:rFonts w:ascii="Cambria Math" w:hAnsi="Cambria Math"/>
                <w:bCs/>
                <w:szCs w:val="21"/>
              </w:rPr>
            </m:ctrlPr>
          </m:e>
          <m:sub>
            <m:r>
              <m:rPr/>
              <w:rPr>
                <w:rFonts w:ascii="Cambria Math" w:hAnsi="Cambria Math"/>
                <w:szCs w:val="21"/>
              </w:rPr>
              <m:t>br</m:t>
            </m:r>
            <m:ctrlPr>
              <w:rPr>
                <w:rFonts w:ascii="Cambria Math" w:hAnsi="Cambria Math"/>
                <w:bCs/>
                <w:szCs w:val="21"/>
              </w:rPr>
            </m:ctrlPr>
          </m:sub>
        </m:sSub>
      </m:oMath>
      <w:r>
        <w:rPr>
          <w:rFonts w:hint="eastAsia"/>
          <w:bCs/>
          <w:szCs w:val="21"/>
        </w:rPr>
        <w:t>、</w:t>
      </w:r>
      <m:oMath>
        <m:r>
          <m:rPr>
            <m:sty m:val="p"/>
          </m:rPr>
          <w:rPr>
            <w:rFonts w:ascii="Cambria Math" w:hAnsi="Cambria Math"/>
            <w:szCs w:val="21"/>
          </w:rPr>
          <m:t>ρ</m:t>
        </m:r>
      </m:oMath>
      <w:r>
        <w:rPr>
          <w:rFonts w:hint="eastAsia"/>
          <w:bCs/>
          <w:szCs w:val="21"/>
        </w:rPr>
        <w:t>均</w:t>
      </w:r>
      <w:r>
        <w:rPr>
          <w:bCs/>
          <w:szCs w:val="21"/>
        </w:rPr>
        <w:t>指在标准状态下。</w:t>
      </w:r>
    </w:p>
    <w:p>
      <w:pPr>
        <w:spacing w:line="360" w:lineRule="auto"/>
        <w:jc w:val="left"/>
        <w:rPr>
          <w:bCs/>
          <w:szCs w:val="21"/>
        </w:rPr>
      </w:pPr>
    </w:p>
    <w:p>
      <w:pPr>
        <w:spacing w:line="360" w:lineRule="auto"/>
        <w:jc w:val="center"/>
        <w:rPr>
          <w:b/>
          <w:sz w:val="24"/>
          <w:szCs w:val="24"/>
        </w:rPr>
      </w:pP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b/>
          <w:sz w:val="24"/>
          <w:szCs w:val="24"/>
        </w:rPr>
        <w:br w:type="page"/>
      </w:r>
      <w:r>
        <w:rPr>
          <w:rFonts w:hint="eastAsia" w:eastAsia="黑体"/>
          <w:b/>
          <w:szCs w:val="21"/>
        </w:rPr>
        <w:t>附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录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B</w:t>
      </w: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（资料性附录）</w:t>
      </w:r>
    </w:p>
    <w:p>
      <w:pPr>
        <w:spacing w:line="360" w:lineRule="auto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节水型医院评价程序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B.1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建立专家评审小组，负责开展节水型医院的评价工作。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B.</w:t>
      </w:r>
      <w:r>
        <w:rPr>
          <w:rFonts w:ascii="黑体" w:eastAsia="黑体"/>
          <w:b/>
        </w:rPr>
        <w:t>2</w:t>
      </w:r>
      <w:r>
        <w:rPr>
          <w:rFonts w:hint="eastAsia"/>
          <w:b/>
        </w:rPr>
        <w:t xml:space="preserve">  </w:t>
      </w:r>
      <w:r>
        <w:t>查</w:t>
      </w:r>
      <w:r>
        <w:rPr>
          <w:rFonts w:hint="eastAsia"/>
        </w:rPr>
        <w:t>看</w:t>
      </w:r>
      <w:r>
        <w:rPr>
          <w:rFonts w:hint="eastAsia"/>
          <w:bCs/>
        </w:rPr>
        <w:t>报告文件、统计报表、原始记录；</w:t>
      </w:r>
      <w:r>
        <w:rPr>
          <w:bCs/>
        </w:rPr>
        <w:t>根据实际情况，组织</w:t>
      </w:r>
      <w:r>
        <w:rPr>
          <w:rFonts w:hint="eastAsia"/>
          <w:bCs/>
        </w:rPr>
        <w:t>专家</w:t>
      </w:r>
      <w:r>
        <w:rPr>
          <w:bCs/>
        </w:rPr>
        <w:t>对计量器具、用水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污水</w:t>
      </w:r>
      <w:r>
        <w:rPr>
          <w:bCs/>
        </w:rPr>
        <w:t>处理设施、非常规水利用</w:t>
      </w:r>
      <w:r>
        <w:rPr>
          <w:rFonts w:hint="eastAsia"/>
          <w:bCs/>
        </w:rPr>
        <w:t>设施</w:t>
      </w:r>
      <w:r>
        <w:rPr>
          <w:bCs/>
        </w:rPr>
        <w:t>、</w:t>
      </w:r>
      <w:r>
        <w:rPr>
          <w:rFonts w:hint="eastAsia"/>
          <w:bCs/>
        </w:rPr>
        <w:t>节水宣传</w:t>
      </w:r>
      <w:r>
        <w:rPr>
          <w:bCs/>
        </w:rPr>
        <w:t>现场、主要用水部位和用水环节</w:t>
      </w:r>
      <w:r>
        <w:rPr>
          <w:rFonts w:hint="eastAsia"/>
          <w:bCs/>
        </w:rPr>
        <w:t>进行</w:t>
      </w:r>
      <w:r>
        <w:rPr>
          <w:bCs/>
        </w:rPr>
        <w:t>现场查看</w:t>
      </w:r>
      <w:r>
        <w:rPr>
          <w:rFonts w:hint="eastAsia"/>
          <w:bCs/>
        </w:rPr>
        <w:t>，</w:t>
      </w:r>
      <w:r>
        <w:rPr>
          <w:bCs/>
        </w:rPr>
        <w:t>确保资料</w:t>
      </w:r>
      <w:r>
        <w:rPr>
          <w:rFonts w:hint="eastAsia"/>
          <w:bCs/>
        </w:rPr>
        <w:t>真实</w:t>
      </w:r>
      <w:r>
        <w:rPr>
          <w:bCs/>
        </w:rPr>
        <w:t>可靠</w:t>
      </w:r>
      <w:r>
        <w:rPr>
          <w:rFonts w:hint="eastAsia"/>
          <w:bCs/>
        </w:rPr>
        <w:t>。</w:t>
      </w:r>
    </w:p>
    <w:p>
      <w:pPr>
        <w:autoSpaceDE w:val="0"/>
        <w:autoSpaceDN w:val="0"/>
        <w:adjustRightInd w:val="0"/>
        <w:spacing w:line="400" w:lineRule="exact"/>
        <w:rPr>
          <w:b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.3</w:t>
      </w:r>
      <w:r>
        <w:rPr>
          <w:rFonts w:hint="eastAsia"/>
          <w:b/>
        </w:rPr>
        <w:t xml:space="preserve">  </w:t>
      </w:r>
      <w:r>
        <w:rPr>
          <w:rFonts w:hint="eastAsia"/>
        </w:rPr>
        <w:t>对资料</w:t>
      </w:r>
      <w:r>
        <w:t>进行分析，</w:t>
      </w:r>
      <w:r>
        <w:rPr>
          <w:rFonts w:hint="eastAsia"/>
        </w:rPr>
        <w:t>对各</w:t>
      </w:r>
      <w:r>
        <w:rPr>
          <w:bCs/>
        </w:rPr>
        <w:t>指标赋分</w:t>
      </w:r>
      <w:r>
        <w:rPr>
          <w:rFonts w:hint="eastAsia"/>
          <w:bCs/>
        </w:rPr>
        <w:t>，各项</w:t>
      </w:r>
      <w:r>
        <w:rPr>
          <w:bCs/>
        </w:rPr>
        <w:t>指标得分</w:t>
      </w:r>
      <w:r>
        <w:rPr>
          <w:rFonts w:hint="eastAsia"/>
          <w:bCs/>
        </w:rPr>
        <w:t>汇总为总</w:t>
      </w:r>
      <w:r>
        <w:rPr>
          <w:bCs/>
        </w:rPr>
        <w:t>得分。</w:t>
      </w:r>
    </w:p>
    <w:p>
      <w:pPr>
        <w:autoSpaceDE w:val="0"/>
        <w:autoSpaceDN w:val="0"/>
        <w:adjustRightInd w:val="0"/>
        <w:spacing w:line="400" w:lineRule="exact"/>
        <w:rPr>
          <w:bCs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.4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评价</w:t>
      </w:r>
      <w:r>
        <w:rPr>
          <w:bCs/>
        </w:rPr>
        <w:t>指标</w:t>
      </w:r>
      <w:r>
        <w:rPr>
          <w:rFonts w:hint="eastAsia"/>
          <w:bCs/>
        </w:rPr>
        <w:t>总得分达到90分</w:t>
      </w:r>
      <w:r>
        <w:rPr>
          <w:rFonts w:hint="eastAsia"/>
          <w:bCs/>
          <w:lang w:val="en-US" w:eastAsia="zh-CN"/>
        </w:rPr>
        <w:t>及</w:t>
      </w:r>
      <w:r>
        <w:rPr>
          <w:bCs/>
        </w:rPr>
        <w:t>以上的医院，</w:t>
      </w:r>
      <w:bookmarkStart w:id="12" w:name="_GoBack"/>
      <w:bookmarkEnd w:id="12"/>
      <w:r>
        <w:rPr>
          <w:rFonts w:hint="eastAsia"/>
          <w:bCs/>
        </w:rPr>
        <w:t>获评节水型</w:t>
      </w:r>
      <w:r>
        <w:rPr>
          <w:bCs/>
        </w:rPr>
        <w:t>医院。</w:t>
      </w:r>
    </w:p>
    <w:p>
      <w:pPr>
        <w:autoSpaceDE w:val="0"/>
        <w:autoSpaceDN w:val="0"/>
        <w:adjustRightInd w:val="0"/>
        <w:spacing w:line="400" w:lineRule="exact"/>
        <w:rPr>
          <w:bCs/>
        </w:rPr>
      </w:pPr>
      <w:r>
        <w:rPr>
          <w:rFonts w:hint="eastAsia" w:ascii="黑体" w:eastAsia="黑体"/>
          <w:b/>
        </w:rPr>
        <w:t>B</w:t>
      </w:r>
      <w:r>
        <w:rPr>
          <w:rFonts w:ascii="黑体" w:eastAsia="黑体"/>
          <w:b/>
        </w:rPr>
        <w:t>.4</w:t>
      </w:r>
      <w:r>
        <w:rPr>
          <w:rFonts w:hint="eastAsia"/>
          <w:b/>
        </w:rPr>
        <w:t xml:space="preserve">  </w:t>
      </w:r>
      <w:r>
        <w:rPr>
          <w:rFonts w:hint="eastAsia"/>
          <w:bCs/>
        </w:rPr>
        <w:t>评价</w:t>
      </w:r>
      <w:r>
        <w:rPr>
          <w:bCs/>
        </w:rPr>
        <w:t>指标</w:t>
      </w:r>
      <w:r>
        <w:rPr>
          <w:rFonts w:hint="eastAsia"/>
          <w:bCs/>
        </w:rPr>
        <w:t>总得分小于90分</w:t>
      </w:r>
      <w:r>
        <w:rPr>
          <w:bCs/>
        </w:rPr>
        <w:t>的医院</w:t>
      </w:r>
      <w:r>
        <w:rPr>
          <w:rFonts w:hint="eastAsia"/>
          <w:bCs/>
        </w:rPr>
        <w:t>，应给出相应的整改措施，见表B</w:t>
      </w:r>
      <w:r>
        <w:rPr>
          <w:bCs/>
        </w:rPr>
        <w:t>.1</w:t>
      </w:r>
      <w:r>
        <w:rPr>
          <w:rFonts w:hint="eastAsia"/>
          <w:bCs/>
        </w:rPr>
        <w:t>。</w:t>
      </w:r>
    </w:p>
    <w:p>
      <w:pPr>
        <w:autoSpaceDE w:val="0"/>
        <w:autoSpaceDN w:val="0"/>
        <w:adjustRightInd w:val="0"/>
        <w:spacing w:after="156" w:afterLines="50" w:line="500" w:lineRule="exact"/>
        <w:jc w:val="center"/>
        <w:rPr>
          <w:rFonts w:eastAsia="黑体"/>
          <w:b/>
          <w:szCs w:val="21"/>
        </w:rPr>
      </w:pPr>
      <w:r>
        <w:rPr>
          <w:rFonts w:hint="eastAsia" w:eastAsia="黑体"/>
          <w:b/>
          <w:szCs w:val="21"/>
        </w:rPr>
        <w:t>表</w:t>
      </w:r>
      <w:r>
        <w:rPr>
          <w:rFonts w:eastAsia="黑体"/>
          <w:b/>
          <w:szCs w:val="21"/>
        </w:rPr>
        <w:t>B</w:t>
      </w:r>
      <w:r>
        <w:rPr>
          <w:rFonts w:hint="eastAsia" w:eastAsia="黑体"/>
          <w:b/>
          <w:szCs w:val="21"/>
        </w:rPr>
        <w:t>.</w:t>
      </w:r>
      <w:r>
        <w:rPr>
          <w:rFonts w:eastAsia="黑体"/>
          <w:b/>
          <w:szCs w:val="21"/>
        </w:rPr>
        <w:t>1</w:t>
      </w:r>
      <w:r>
        <w:rPr>
          <w:rFonts w:hint="eastAsia" w:eastAsia="黑体"/>
          <w:b/>
          <w:szCs w:val="21"/>
        </w:rPr>
        <w:t xml:space="preserve"> </w:t>
      </w:r>
      <w:r>
        <w:rPr>
          <w:rFonts w:eastAsia="黑体"/>
          <w:b/>
          <w:szCs w:val="21"/>
        </w:rPr>
        <w:t xml:space="preserve"> </w:t>
      </w:r>
      <w:r>
        <w:rPr>
          <w:rFonts w:hint="eastAsia" w:eastAsia="黑体"/>
          <w:b/>
          <w:szCs w:val="21"/>
        </w:rPr>
        <w:t>节水整改措施表</w:t>
      </w:r>
    </w:p>
    <w:tbl>
      <w:tblPr>
        <w:tblStyle w:val="7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2510"/>
        <w:gridCol w:w="2508"/>
        <w:gridCol w:w="2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pacing w:val="-20"/>
              </w:rPr>
            </w:pPr>
            <w:r>
              <w:rPr>
                <w:rFonts w:hint="eastAsia" w:eastAsiaTheme="minorEastAsia"/>
                <w:b/>
                <w:spacing w:val="-20"/>
              </w:rPr>
              <w:t>序号</w:t>
            </w:r>
          </w:p>
        </w:tc>
        <w:tc>
          <w:tcPr>
            <w:tcW w:w="1311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pacing w:val="-20"/>
              </w:rPr>
            </w:pPr>
            <w:r>
              <w:rPr>
                <w:rFonts w:hint="eastAsia" w:eastAsiaTheme="minorEastAsia"/>
                <w:b/>
                <w:spacing w:val="-20"/>
              </w:rPr>
              <w:t>整改内容</w:t>
            </w:r>
          </w:p>
        </w:tc>
        <w:tc>
          <w:tcPr>
            <w:tcW w:w="131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pacing w:val="-20"/>
              </w:rPr>
            </w:pPr>
            <w:r>
              <w:rPr>
                <w:rFonts w:hint="eastAsia" w:eastAsiaTheme="minorEastAsia"/>
                <w:b/>
                <w:spacing w:val="-20"/>
              </w:rPr>
              <w:t>整改原因</w:t>
            </w:r>
          </w:p>
        </w:tc>
        <w:tc>
          <w:tcPr>
            <w:tcW w:w="143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pacing w:val="-20"/>
              </w:rPr>
            </w:pPr>
            <w:r>
              <w:rPr>
                <w:rFonts w:hint="eastAsia" w:eastAsiaTheme="minorEastAsia"/>
                <w:b/>
                <w:spacing w:val="-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49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311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31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  <w:tc>
          <w:tcPr>
            <w:tcW w:w="1430" w:type="pct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60" w:lineRule="exact"/>
              <w:rPr>
                <w:b/>
              </w:rPr>
            </w:pPr>
          </w:p>
        </w:tc>
      </w:tr>
    </w:tbl>
    <w:p>
      <w:pPr>
        <w:spacing w:before="312" w:beforeLines="100" w:line="440" w:lineRule="exact"/>
        <w:jc w:val="center"/>
        <w:rPr>
          <w:szCs w:val="21"/>
        </w:rPr>
      </w:pPr>
      <w:r>
        <w:rPr>
          <w:rFonts w:hint="eastAsia"/>
          <w:szCs w:val="21"/>
        </w:rPr>
        <w:t>—————————————</w:t>
      </w: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spacing w:before="312" w:beforeLines="100" w:line="440" w:lineRule="exact"/>
        <w:jc w:val="center"/>
        <w:rPr>
          <w:szCs w:val="21"/>
        </w:rPr>
      </w:pPr>
    </w:p>
    <w:p>
      <w:pPr>
        <w:pStyle w:val="100"/>
        <w:spacing w:before="156" w:after="156"/>
        <w:ind w:firstLine="0" w:firstLineChars="0"/>
        <w:rPr>
          <w:rFonts w:ascii="Times New Roman"/>
        </w:rPr>
      </w:pPr>
    </w:p>
    <w:p>
      <w:pPr>
        <w:pStyle w:val="100"/>
        <w:spacing w:before="156" w:after="156"/>
        <w:ind w:firstLine="0" w:firstLineChars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5684520</wp:posOffset>
                </wp:positionH>
                <wp:positionV relativeFrom="paragraph">
                  <wp:posOffset>-215265</wp:posOffset>
                </wp:positionV>
                <wp:extent cx="381000" cy="1650365"/>
                <wp:effectExtent l="3175" t="0" r="0" b="1270"/>
                <wp:wrapNone/>
                <wp:docPr id="1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1650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DB1</w:t>
                            </w:r>
                            <w: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 xml:space="preserve">/T </w:t>
                            </w:r>
                            <w:r>
                              <w:t>××××—2022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026" o:spt="1" style="position:absolute;left:0pt;margin-left:447.6pt;margin-top:-16.95pt;height:129.95pt;width:30pt;z-index:251668480;mso-width-relative:page;mso-height-relative:page;" filled="f" stroked="f" coordsize="21600,21600" o:gfxdata="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ZffAdoAAAALAQAADwAAAAAAAAABACAAAAAiAAAA&#10;ZHJzL2Rvd25yZXYueG1sUEsBAhQAFAAAAAgAh07iQLS8a54FAgAAEAQAAA4AAAAAAAAAAQAgAAAA&#10;KQEAAGRycy9lMm9Eb2MueG1sUEsFBgAAAAAGAAYAWQEAAKA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r>
                        <w:rPr>
                          <w:rFonts w:hint="eastAsia"/>
                        </w:rPr>
                        <w:t>DB1</w:t>
                      </w:r>
                      <w:r>
                        <w:t>3</w:t>
                      </w:r>
                      <w:r>
                        <w:rPr>
                          <w:rFonts w:hint="eastAsia"/>
                        </w:rPr>
                        <w:t xml:space="preserve">/T </w:t>
                      </w:r>
                      <w:r>
                        <w:t>××××—2022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40" w:lineRule="exact"/>
        <w:jc w:val="center"/>
      </w:pPr>
    </w:p>
    <w:p>
      <w:pPr>
        <w:spacing w:line="440" w:lineRule="exact"/>
        <w:jc w:val="center"/>
        <w:rPr>
          <w:szCs w:val="21"/>
        </w:rPr>
      </w:pPr>
    </w:p>
    <w:p>
      <w:pPr>
        <w:autoSpaceDE w:val="0"/>
        <w:autoSpaceDN w:val="0"/>
        <w:adjustRightInd w:val="0"/>
        <w:spacing w:line="440" w:lineRule="exact"/>
        <w:jc w:val="left"/>
      </w:pPr>
    </w:p>
    <w:sectPr>
      <w:footerReference r:id="rId9" w:type="default"/>
      <w:pgSz w:w="11907" w:h="16839"/>
      <w:pgMar w:top="1418" w:right="1134" w:bottom="1134" w:left="1418" w:header="1418" w:footer="85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4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1</w:t>
    </w:r>
    <w:r>
      <w:rPr>
        <w:rStyle w:val="7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9"/>
      <w:framePr w:wrap="around" w:vAnchor="text" w:hAnchor="margin" w:xAlign="right" w:y="1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2</w:t>
    </w:r>
    <w:r>
      <w:rPr>
        <w:rStyle w:val="78"/>
      </w:rPr>
      <w:fldChar w:fldCharType="end"/>
    </w:r>
  </w:p>
  <w:p>
    <w:pPr>
      <w:pStyle w:val="4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4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II</w:t>
    </w:r>
    <w:r>
      <w:rPr>
        <w:rStyle w:val="7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4"/>
      <w:jc w:val="center"/>
      <w:rPr>
        <w:rStyle w:val="78"/>
      </w:rPr>
    </w:pPr>
    <w:r>
      <w:rPr>
        <w:rStyle w:val="78"/>
      </w:rPr>
      <w:fldChar w:fldCharType="begin"/>
    </w:r>
    <w:r>
      <w:rPr>
        <w:rStyle w:val="78"/>
      </w:rPr>
      <w:instrText xml:space="preserve">PAGE  </w:instrText>
    </w:r>
    <w:r>
      <w:rPr>
        <w:rStyle w:val="78"/>
      </w:rPr>
      <w:fldChar w:fldCharType="separate"/>
    </w:r>
    <w:r>
      <w:rPr>
        <w:rStyle w:val="78"/>
      </w:rPr>
      <w:t>7</w:t>
    </w:r>
    <w:r>
      <w:rPr>
        <w:rStyle w:val="7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7"/>
    </w:pP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5"/>
      <w:wordWrap w:val="0"/>
    </w:pPr>
    <w:r>
      <w:t>DB</w:t>
    </w:r>
    <w:r>
      <w:rPr>
        <w:rFonts w:hint="eastAsia" w:ascii="黑体"/>
      </w:rPr>
      <w:t>13</w:t>
    </w:r>
    <w:r>
      <w:t>/T</w:t>
    </w:r>
    <w:r>
      <w:rPr>
        <w:rFonts w:hint="eastAsia"/>
      </w:rPr>
      <w:t xml:space="preserve">   </w:t>
    </w:r>
    <w:r>
      <w:t>—</w:t>
    </w:r>
    <w:r>
      <w:rPr>
        <w:rFonts w:hint="eastAsia"/>
      </w:rPr>
      <w:t>20</w:t>
    </w:r>
    <w:r>
      <w:t>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7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55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3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35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66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42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32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19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3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0AE367E9"/>
    <w:multiLevelType w:val="multilevel"/>
    <w:tmpl w:val="0AE367E9"/>
    <w:lvl w:ilvl="0" w:tentative="0">
      <w:start w:val="1"/>
      <w:numFmt w:val="none"/>
      <w:pStyle w:val="135"/>
      <w:lvlText w:val="%1示例"/>
      <w:lvlJc w:val="left"/>
      <w:pPr>
        <w:tabs>
          <w:tab w:val="left" w:pos="1120"/>
        </w:tabs>
        <w:ind w:left="0" w:firstLine="400"/>
      </w:pPr>
      <w:rPr>
        <w:rFonts w:hint="eastAsia" w:ascii="宋体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407E65F9"/>
    <w:multiLevelType w:val="multilevel"/>
    <w:tmpl w:val="407E65F9"/>
    <w:lvl w:ilvl="0" w:tentative="0">
      <w:start w:val="1"/>
      <w:numFmt w:val="none"/>
      <w:pStyle w:val="25"/>
      <w:lvlText w:val="%1●　"/>
      <w:lvlJc w:val="left"/>
      <w:pPr>
        <w:tabs>
          <w:tab w:val="left" w:pos="560"/>
        </w:tabs>
        <w:ind w:left="517" w:hanging="317"/>
      </w:pPr>
      <w:rPr>
        <w:rFonts w:hint="eastAsia" w:ascii="宋体" w:hAnsi="Times New Roman" w:eastAsia="宋体"/>
        <w:b w:val="0"/>
        <w:i w:val="0"/>
        <w:sz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46806F7D"/>
    <w:multiLevelType w:val="multilevel"/>
    <w:tmpl w:val="46806F7D"/>
    <w:lvl w:ilvl="0" w:tentative="0">
      <w:start w:val="1"/>
      <w:numFmt w:val="none"/>
      <w:pStyle w:val="123"/>
      <w:lvlText w:val="图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46D22D8F"/>
    <w:multiLevelType w:val="multilevel"/>
    <w:tmpl w:val="46D22D8F"/>
    <w:lvl w:ilvl="0" w:tentative="0">
      <w:start w:val="1"/>
      <w:numFmt w:val="none"/>
      <w:pStyle w:val="148"/>
      <w:lvlText w:val="%1◆　"/>
      <w:lvlJc w:val="left"/>
      <w:pPr>
        <w:tabs>
          <w:tab w:val="left" w:pos="960"/>
        </w:tabs>
        <w:ind w:left="917" w:hanging="317"/>
      </w:pPr>
      <w:rPr>
        <w:rFonts w:hint="eastAsia" w:ascii="宋体" w:hAnsi="Times New Roman" w:eastAsia="宋体"/>
        <w:b w:val="0"/>
        <w:i w:val="0"/>
        <w:position w:val="4"/>
        <w:sz w:val="1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496E4D7B"/>
    <w:multiLevelType w:val="multilevel"/>
    <w:tmpl w:val="496E4D7B"/>
    <w:lvl w:ilvl="0" w:tentative="0">
      <w:start w:val="1"/>
      <w:numFmt w:val="none"/>
      <w:pStyle w:val="146"/>
      <w:lvlText w:val="%1注"/>
      <w:lvlJc w:val="left"/>
      <w:pPr>
        <w:tabs>
          <w:tab w:val="left" w:pos="900"/>
        </w:tabs>
        <w:ind w:left="900" w:hanging="50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4F302902"/>
    <w:multiLevelType w:val="multilevel"/>
    <w:tmpl w:val="4F302902"/>
    <w:lvl w:ilvl="0" w:tentative="0">
      <w:start w:val="1"/>
      <w:numFmt w:val="none"/>
      <w:pStyle w:val="117"/>
      <w:lvlText w:val="表"/>
      <w:lvlJc w:val="left"/>
      <w:pPr>
        <w:tabs>
          <w:tab w:val="left" w:pos="360"/>
        </w:tabs>
        <w:ind w:left="0" w:firstLine="0"/>
      </w:pPr>
      <w:rPr>
        <w:rFonts w:hint="eastAsia" w:ascii="黑体" w:eastAsia="黑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557C2AF5"/>
    <w:multiLevelType w:val="multilevel"/>
    <w:tmpl w:val="557C2AF5"/>
    <w:lvl w:ilvl="0" w:tentative="0">
      <w:start w:val="1"/>
      <w:numFmt w:val="decimal"/>
      <w:pStyle w:val="144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7">
    <w:nsid w:val="6350366A"/>
    <w:multiLevelType w:val="multilevel"/>
    <w:tmpl w:val="6350366A"/>
    <w:lvl w:ilvl="0" w:tentative="0">
      <w:start w:val="1"/>
      <w:numFmt w:val="none"/>
      <w:pStyle w:val="128"/>
      <w:lvlText w:val="%1●　"/>
      <w:lvlJc w:val="left"/>
      <w:pPr>
        <w:tabs>
          <w:tab w:val="left" w:pos="760"/>
        </w:tabs>
        <w:ind w:left="717" w:hanging="317"/>
      </w:pPr>
      <w:rPr>
        <w:rFonts w:hint="eastAsia" w:ascii="宋体" w:hAnsi="Times New Roman" w:eastAsia="宋体"/>
        <w:b w:val="0"/>
        <w:i w:val="0"/>
        <w:position w:val="4"/>
        <w:sz w:val="13"/>
      </w:rPr>
    </w:lvl>
    <w:lvl w:ilvl="1" w:tentative="0">
      <w:start w:val="1"/>
      <w:numFmt w:val="lowerLetter"/>
      <w:lvlText w:val="%2)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8">
    <w:nsid w:val="646260FA"/>
    <w:multiLevelType w:val="multilevel"/>
    <w:tmpl w:val="646260FA"/>
    <w:lvl w:ilvl="0" w:tentative="0">
      <w:start w:val="1"/>
      <w:numFmt w:val="decimal"/>
      <w:pStyle w:val="143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9">
    <w:nsid w:val="657D3FBC"/>
    <w:multiLevelType w:val="multilevel"/>
    <w:tmpl w:val="657D3FBC"/>
    <w:lvl w:ilvl="0" w:tentative="0">
      <w:start w:val="1"/>
      <w:numFmt w:val="upperLetter"/>
      <w:pStyle w:val="116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1" w:tentative="0">
      <w:start w:val="1"/>
      <w:numFmt w:val="decimal"/>
      <w:pStyle w:val="118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24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CEA2025"/>
    <w:multiLevelType w:val="multilevel"/>
    <w:tmpl w:val="6CEA2025"/>
    <w:lvl w:ilvl="0" w:tentative="0">
      <w:start w:val="1"/>
      <w:numFmt w:val="none"/>
      <w:pStyle w:val="98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01"/>
      <w:suff w:val="nothing"/>
      <w:lvlText w:val="%1%2　"/>
      <w:lvlJc w:val="left"/>
      <w:pPr>
        <w:ind w:left="315" w:firstLine="0"/>
      </w:pPr>
      <w:rPr>
        <w:rFonts w:hint="eastAsia" w:ascii="黑体" w:hAnsi="Times New Roman" w:eastAsia="黑体"/>
        <w:b w:val="0"/>
        <w:i w:val="0"/>
        <w:sz w:val="24"/>
        <w:szCs w:val="24"/>
      </w:rPr>
    </w:lvl>
    <w:lvl w:ilvl="2" w:tentative="0">
      <w:start w:val="1"/>
      <w:numFmt w:val="decimal"/>
      <w:pStyle w:val="102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03"/>
      <w:suff w:val="nothing"/>
      <w:lvlText w:val="%1%2.%3.%4　"/>
      <w:lvlJc w:val="left"/>
      <w:pPr>
        <w:ind w:left="840" w:firstLine="0"/>
      </w:pPr>
      <w:rPr>
        <w:rFonts w:hint="default" w:ascii="Times New Roman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33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37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42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1">
    <w:nsid w:val="6DBF04F4"/>
    <w:multiLevelType w:val="multilevel"/>
    <w:tmpl w:val="6DBF04F4"/>
    <w:lvl w:ilvl="0" w:tentative="0">
      <w:start w:val="1"/>
      <w:numFmt w:val="none"/>
      <w:pStyle w:val="145"/>
      <w:lvlText w:val="%1注："/>
      <w:lvlJc w:val="left"/>
      <w:pPr>
        <w:tabs>
          <w:tab w:val="left" w:pos="1140"/>
        </w:tabs>
        <w:ind w:left="840" w:hanging="420"/>
      </w:pPr>
      <w:rPr>
        <w:rFonts w:hint="eastAsia" w:ascii="宋体" w:hAnsi="Times New Roman" w:eastAsia="宋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76933334"/>
    <w:multiLevelType w:val="multilevel"/>
    <w:tmpl w:val="76933334"/>
    <w:lvl w:ilvl="0" w:tentative="0">
      <w:start w:val="1"/>
      <w:numFmt w:val="none"/>
      <w:pStyle w:val="127"/>
      <w:lvlText w:val="%1——"/>
      <w:lvlJc w:val="left"/>
      <w:pPr>
        <w:tabs>
          <w:tab w:val="left" w:pos="11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8"/>
  </w:num>
  <w:num w:numId="2">
    <w:abstractNumId w:val="6"/>
  </w:num>
  <w:num w:numId="3">
    <w:abstractNumId w:val="11"/>
  </w:num>
  <w:num w:numId="4">
    <w:abstractNumId w:val="7"/>
  </w:num>
  <w:num w:numId="5">
    <w:abstractNumId w:val="3"/>
  </w:num>
  <w:num w:numId="6">
    <w:abstractNumId w:val="0"/>
  </w:num>
  <w:num w:numId="7">
    <w:abstractNumId w:val="9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  <w:num w:numId="12">
    <w:abstractNumId w:val="20"/>
  </w:num>
  <w:num w:numId="13">
    <w:abstractNumId w:val="19"/>
  </w:num>
  <w:num w:numId="14">
    <w:abstractNumId w:val="15"/>
  </w:num>
  <w:num w:numId="15">
    <w:abstractNumId w:val="12"/>
  </w:num>
  <w:num w:numId="16">
    <w:abstractNumId w:val="22"/>
  </w:num>
  <w:num w:numId="17">
    <w:abstractNumId w:val="17"/>
  </w:num>
  <w:num w:numId="18">
    <w:abstractNumId w:val="10"/>
  </w:num>
  <w:num w:numId="19">
    <w:abstractNumId w:val="18"/>
  </w:num>
  <w:num w:numId="20">
    <w:abstractNumId w:val="16"/>
  </w:num>
  <w:num w:numId="21">
    <w:abstractNumId w:val="21"/>
  </w:num>
  <w:num w:numId="22">
    <w:abstractNumId w:val="1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028"/>
    <w:rsid w:val="000015D9"/>
    <w:rsid w:val="000022D9"/>
    <w:rsid w:val="00003317"/>
    <w:rsid w:val="00005FCB"/>
    <w:rsid w:val="00006EF1"/>
    <w:rsid w:val="00007928"/>
    <w:rsid w:val="000079F4"/>
    <w:rsid w:val="00007D6F"/>
    <w:rsid w:val="0001019C"/>
    <w:rsid w:val="0001210B"/>
    <w:rsid w:val="0001321C"/>
    <w:rsid w:val="00016FC0"/>
    <w:rsid w:val="00017D75"/>
    <w:rsid w:val="0002272D"/>
    <w:rsid w:val="000245AB"/>
    <w:rsid w:val="00024BF4"/>
    <w:rsid w:val="000257D0"/>
    <w:rsid w:val="0003430B"/>
    <w:rsid w:val="000362DA"/>
    <w:rsid w:val="000369E1"/>
    <w:rsid w:val="0004098A"/>
    <w:rsid w:val="0005217D"/>
    <w:rsid w:val="0005363E"/>
    <w:rsid w:val="00053A50"/>
    <w:rsid w:val="00054892"/>
    <w:rsid w:val="00054940"/>
    <w:rsid w:val="00055AE5"/>
    <w:rsid w:val="00057F91"/>
    <w:rsid w:val="00062346"/>
    <w:rsid w:val="00062394"/>
    <w:rsid w:val="00062A2C"/>
    <w:rsid w:val="0006398E"/>
    <w:rsid w:val="00065730"/>
    <w:rsid w:val="0006590C"/>
    <w:rsid w:val="000660F7"/>
    <w:rsid w:val="00066821"/>
    <w:rsid w:val="00070A9D"/>
    <w:rsid w:val="000724AF"/>
    <w:rsid w:val="000724EC"/>
    <w:rsid w:val="00072F09"/>
    <w:rsid w:val="00075651"/>
    <w:rsid w:val="00075E08"/>
    <w:rsid w:val="0007616C"/>
    <w:rsid w:val="00077628"/>
    <w:rsid w:val="0007762F"/>
    <w:rsid w:val="000776F5"/>
    <w:rsid w:val="00077728"/>
    <w:rsid w:val="00080156"/>
    <w:rsid w:val="00083AD7"/>
    <w:rsid w:val="00087910"/>
    <w:rsid w:val="00087FBD"/>
    <w:rsid w:val="0009025A"/>
    <w:rsid w:val="000936E8"/>
    <w:rsid w:val="000939AB"/>
    <w:rsid w:val="00093A9C"/>
    <w:rsid w:val="00094C10"/>
    <w:rsid w:val="00097F3F"/>
    <w:rsid w:val="000A01F7"/>
    <w:rsid w:val="000A03F5"/>
    <w:rsid w:val="000A05BC"/>
    <w:rsid w:val="000A222C"/>
    <w:rsid w:val="000A5C19"/>
    <w:rsid w:val="000B011D"/>
    <w:rsid w:val="000B0327"/>
    <w:rsid w:val="000B04FC"/>
    <w:rsid w:val="000B14EA"/>
    <w:rsid w:val="000B2735"/>
    <w:rsid w:val="000B2FE9"/>
    <w:rsid w:val="000B77AA"/>
    <w:rsid w:val="000C13F9"/>
    <w:rsid w:val="000C15EE"/>
    <w:rsid w:val="000C22C3"/>
    <w:rsid w:val="000C5017"/>
    <w:rsid w:val="000C51AA"/>
    <w:rsid w:val="000C51F0"/>
    <w:rsid w:val="000C6D2F"/>
    <w:rsid w:val="000D051A"/>
    <w:rsid w:val="000D0ABF"/>
    <w:rsid w:val="000D1709"/>
    <w:rsid w:val="000D37F4"/>
    <w:rsid w:val="000D451C"/>
    <w:rsid w:val="000D51EA"/>
    <w:rsid w:val="000D56E2"/>
    <w:rsid w:val="000D5882"/>
    <w:rsid w:val="000D7176"/>
    <w:rsid w:val="000E0FD7"/>
    <w:rsid w:val="000E1046"/>
    <w:rsid w:val="000E10B3"/>
    <w:rsid w:val="000E13F4"/>
    <w:rsid w:val="000E224D"/>
    <w:rsid w:val="000E2E37"/>
    <w:rsid w:val="000E4B5D"/>
    <w:rsid w:val="000E6AC4"/>
    <w:rsid w:val="000F0066"/>
    <w:rsid w:val="000F0228"/>
    <w:rsid w:val="000F0BE8"/>
    <w:rsid w:val="000F1F58"/>
    <w:rsid w:val="000F4D36"/>
    <w:rsid w:val="000F5F8F"/>
    <w:rsid w:val="000F6509"/>
    <w:rsid w:val="001003F3"/>
    <w:rsid w:val="0010083C"/>
    <w:rsid w:val="001015E5"/>
    <w:rsid w:val="00101FD2"/>
    <w:rsid w:val="001026DB"/>
    <w:rsid w:val="00103A9D"/>
    <w:rsid w:val="00103C0C"/>
    <w:rsid w:val="00104921"/>
    <w:rsid w:val="00104C81"/>
    <w:rsid w:val="00106676"/>
    <w:rsid w:val="00106767"/>
    <w:rsid w:val="0011029A"/>
    <w:rsid w:val="00110340"/>
    <w:rsid w:val="0011254C"/>
    <w:rsid w:val="001148C6"/>
    <w:rsid w:val="0011621C"/>
    <w:rsid w:val="0012053D"/>
    <w:rsid w:val="00121704"/>
    <w:rsid w:val="00121BA4"/>
    <w:rsid w:val="00123222"/>
    <w:rsid w:val="00123B7F"/>
    <w:rsid w:val="00124214"/>
    <w:rsid w:val="00124225"/>
    <w:rsid w:val="00124BA3"/>
    <w:rsid w:val="0013286B"/>
    <w:rsid w:val="00133BB0"/>
    <w:rsid w:val="001352EA"/>
    <w:rsid w:val="001361EB"/>
    <w:rsid w:val="00136D8C"/>
    <w:rsid w:val="00140AE5"/>
    <w:rsid w:val="001429E9"/>
    <w:rsid w:val="001439BF"/>
    <w:rsid w:val="00143AAE"/>
    <w:rsid w:val="00145C6B"/>
    <w:rsid w:val="001525B4"/>
    <w:rsid w:val="001536CD"/>
    <w:rsid w:val="001542A6"/>
    <w:rsid w:val="00155F51"/>
    <w:rsid w:val="001562D0"/>
    <w:rsid w:val="001571DC"/>
    <w:rsid w:val="00157CDA"/>
    <w:rsid w:val="00157E75"/>
    <w:rsid w:val="00157F5B"/>
    <w:rsid w:val="00160488"/>
    <w:rsid w:val="00161051"/>
    <w:rsid w:val="00161334"/>
    <w:rsid w:val="00164E04"/>
    <w:rsid w:val="001663C8"/>
    <w:rsid w:val="00174E33"/>
    <w:rsid w:val="00174ECF"/>
    <w:rsid w:val="00175179"/>
    <w:rsid w:val="00175A5A"/>
    <w:rsid w:val="001767BD"/>
    <w:rsid w:val="0018176A"/>
    <w:rsid w:val="001817F6"/>
    <w:rsid w:val="00185508"/>
    <w:rsid w:val="001866E1"/>
    <w:rsid w:val="001922F9"/>
    <w:rsid w:val="00193F1B"/>
    <w:rsid w:val="00193FA1"/>
    <w:rsid w:val="00194561"/>
    <w:rsid w:val="00194CDF"/>
    <w:rsid w:val="00194E11"/>
    <w:rsid w:val="001967CC"/>
    <w:rsid w:val="001A030B"/>
    <w:rsid w:val="001A1FE9"/>
    <w:rsid w:val="001A2400"/>
    <w:rsid w:val="001A255D"/>
    <w:rsid w:val="001A3765"/>
    <w:rsid w:val="001B05AA"/>
    <w:rsid w:val="001B0643"/>
    <w:rsid w:val="001B245B"/>
    <w:rsid w:val="001B425B"/>
    <w:rsid w:val="001B431B"/>
    <w:rsid w:val="001B4813"/>
    <w:rsid w:val="001B53BE"/>
    <w:rsid w:val="001B5F3A"/>
    <w:rsid w:val="001B67B8"/>
    <w:rsid w:val="001C0985"/>
    <w:rsid w:val="001C24C0"/>
    <w:rsid w:val="001C2DA0"/>
    <w:rsid w:val="001C3427"/>
    <w:rsid w:val="001C3BD4"/>
    <w:rsid w:val="001C75F2"/>
    <w:rsid w:val="001D0E65"/>
    <w:rsid w:val="001D1B10"/>
    <w:rsid w:val="001D2EAA"/>
    <w:rsid w:val="001D34BF"/>
    <w:rsid w:val="001D4053"/>
    <w:rsid w:val="001D4510"/>
    <w:rsid w:val="001D51BF"/>
    <w:rsid w:val="001D5561"/>
    <w:rsid w:val="001D59AA"/>
    <w:rsid w:val="001E1562"/>
    <w:rsid w:val="001E3E6E"/>
    <w:rsid w:val="001E4DCC"/>
    <w:rsid w:val="001E56DC"/>
    <w:rsid w:val="001E59EE"/>
    <w:rsid w:val="001E5D73"/>
    <w:rsid w:val="001E7B09"/>
    <w:rsid w:val="001F0578"/>
    <w:rsid w:val="001F3F3C"/>
    <w:rsid w:val="001F5E12"/>
    <w:rsid w:val="002002C5"/>
    <w:rsid w:val="00200391"/>
    <w:rsid w:val="0020575E"/>
    <w:rsid w:val="002065E9"/>
    <w:rsid w:val="00207E83"/>
    <w:rsid w:val="00213879"/>
    <w:rsid w:val="00214899"/>
    <w:rsid w:val="00215F01"/>
    <w:rsid w:val="002160EF"/>
    <w:rsid w:val="00216E4E"/>
    <w:rsid w:val="0022092A"/>
    <w:rsid w:val="00221320"/>
    <w:rsid w:val="00221335"/>
    <w:rsid w:val="00221C08"/>
    <w:rsid w:val="00222099"/>
    <w:rsid w:val="002246DA"/>
    <w:rsid w:val="00226F64"/>
    <w:rsid w:val="00232C62"/>
    <w:rsid w:val="00232F90"/>
    <w:rsid w:val="002345C5"/>
    <w:rsid w:val="00237D0E"/>
    <w:rsid w:val="00240E50"/>
    <w:rsid w:val="00241321"/>
    <w:rsid w:val="0024138F"/>
    <w:rsid w:val="00241703"/>
    <w:rsid w:val="00244D2C"/>
    <w:rsid w:val="00247469"/>
    <w:rsid w:val="00247F1F"/>
    <w:rsid w:val="0025081E"/>
    <w:rsid w:val="00251849"/>
    <w:rsid w:val="00251B24"/>
    <w:rsid w:val="00252810"/>
    <w:rsid w:val="00253A8C"/>
    <w:rsid w:val="00256766"/>
    <w:rsid w:val="002572EC"/>
    <w:rsid w:val="00257321"/>
    <w:rsid w:val="00260C28"/>
    <w:rsid w:val="00261A5A"/>
    <w:rsid w:val="00261FC8"/>
    <w:rsid w:val="002625C4"/>
    <w:rsid w:val="00262DEA"/>
    <w:rsid w:val="00262EC7"/>
    <w:rsid w:val="00264007"/>
    <w:rsid w:val="00265298"/>
    <w:rsid w:val="00265C2C"/>
    <w:rsid w:val="00273E98"/>
    <w:rsid w:val="00274B45"/>
    <w:rsid w:val="00275B08"/>
    <w:rsid w:val="002764DE"/>
    <w:rsid w:val="00276EB7"/>
    <w:rsid w:val="00276F1C"/>
    <w:rsid w:val="00277160"/>
    <w:rsid w:val="0028036F"/>
    <w:rsid w:val="002805A8"/>
    <w:rsid w:val="0028095C"/>
    <w:rsid w:val="002825B8"/>
    <w:rsid w:val="002835B0"/>
    <w:rsid w:val="002851E1"/>
    <w:rsid w:val="00285CE8"/>
    <w:rsid w:val="00286617"/>
    <w:rsid w:val="00286D47"/>
    <w:rsid w:val="00286F40"/>
    <w:rsid w:val="00287483"/>
    <w:rsid w:val="00290E5F"/>
    <w:rsid w:val="0029194E"/>
    <w:rsid w:val="00292024"/>
    <w:rsid w:val="0029256E"/>
    <w:rsid w:val="00293EEA"/>
    <w:rsid w:val="002951E8"/>
    <w:rsid w:val="00296EB3"/>
    <w:rsid w:val="00297C1C"/>
    <w:rsid w:val="002A11F1"/>
    <w:rsid w:val="002A12CF"/>
    <w:rsid w:val="002A1836"/>
    <w:rsid w:val="002A1CE0"/>
    <w:rsid w:val="002A26F1"/>
    <w:rsid w:val="002A2CF1"/>
    <w:rsid w:val="002A4E3B"/>
    <w:rsid w:val="002B19ED"/>
    <w:rsid w:val="002B1B33"/>
    <w:rsid w:val="002B2C7B"/>
    <w:rsid w:val="002B4FC3"/>
    <w:rsid w:val="002B6CD4"/>
    <w:rsid w:val="002B6FC1"/>
    <w:rsid w:val="002C007D"/>
    <w:rsid w:val="002C6E49"/>
    <w:rsid w:val="002C750B"/>
    <w:rsid w:val="002D44BA"/>
    <w:rsid w:val="002D6DA0"/>
    <w:rsid w:val="002E1E3D"/>
    <w:rsid w:val="002E677B"/>
    <w:rsid w:val="002F255B"/>
    <w:rsid w:val="002F3CE0"/>
    <w:rsid w:val="002F4655"/>
    <w:rsid w:val="002F5063"/>
    <w:rsid w:val="002F6A5C"/>
    <w:rsid w:val="00300CA4"/>
    <w:rsid w:val="00301A32"/>
    <w:rsid w:val="00302264"/>
    <w:rsid w:val="00302A17"/>
    <w:rsid w:val="0030520B"/>
    <w:rsid w:val="003068E0"/>
    <w:rsid w:val="00312559"/>
    <w:rsid w:val="00312C94"/>
    <w:rsid w:val="0031602E"/>
    <w:rsid w:val="003166FD"/>
    <w:rsid w:val="00320AB1"/>
    <w:rsid w:val="00323ABF"/>
    <w:rsid w:val="00323FCD"/>
    <w:rsid w:val="00327655"/>
    <w:rsid w:val="00330298"/>
    <w:rsid w:val="003306CC"/>
    <w:rsid w:val="00330759"/>
    <w:rsid w:val="00330F65"/>
    <w:rsid w:val="00333067"/>
    <w:rsid w:val="003346CE"/>
    <w:rsid w:val="003359CB"/>
    <w:rsid w:val="00335ADD"/>
    <w:rsid w:val="00337F74"/>
    <w:rsid w:val="003419FA"/>
    <w:rsid w:val="0034321E"/>
    <w:rsid w:val="00343B7E"/>
    <w:rsid w:val="003457CE"/>
    <w:rsid w:val="0034691A"/>
    <w:rsid w:val="00346F21"/>
    <w:rsid w:val="003478A4"/>
    <w:rsid w:val="00347D90"/>
    <w:rsid w:val="00350028"/>
    <w:rsid w:val="00351DFC"/>
    <w:rsid w:val="003520A0"/>
    <w:rsid w:val="00352B38"/>
    <w:rsid w:val="00355063"/>
    <w:rsid w:val="003618A0"/>
    <w:rsid w:val="00362265"/>
    <w:rsid w:val="003623E7"/>
    <w:rsid w:val="00363216"/>
    <w:rsid w:val="00364B87"/>
    <w:rsid w:val="00365E88"/>
    <w:rsid w:val="0036680B"/>
    <w:rsid w:val="00367AB2"/>
    <w:rsid w:val="0037359C"/>
    <w:rsid w:val="0037490D"/>
    <w:rsid w:val="003776C7"/>
    <w:rsid w:val="00377814"/>
    <w:rsid w:val="0038117E"/>
    <w:rsid w:val="00381852"/>
    <w:rsid w:val="00382CD8"/>
    <w:rsid w:val="0038372C"/>
    <w:rsid w:val="00383D32"/>
    <w:rsid w:val="00386D17"/>
    <w:rsid w:val="00393D6B"/>
    <w:rsid w:val="003940AB"/>
    <w:rsid w:val="00394B88"/>
    <w:rsid w:val="003958C2"/>
    <w:rsid w:val="00396F86"/>
    <w:rsid w:val="00397998"/>
    <w:rsid w:val="003A2575"/>
    <w:rsid w:val="003A59C9"/>
    <w:rsid w:val="003A74E7"/>
    <w:rsid w:val="003B1205"/>
    <w:rsid w:val="003B2446"/>
    <w:rsid w:val="003B485A"/>
    <w:rsid w:val="003B4A48"/>
    <w:rsid w:val="003B68AA"/>
    <w:rsid w:val="003C1F77"/>
    <w:rsid w:val="003C21D5"/>
    <w:rsid w:val="003C2B28"/>
    <w:rsid w:val="003C41C8"/>
    <w:rsid w:val="003C4547"/>
    <w:rsid w:val="003C514D"/>
    <w:rsid w:val="003C525B"/>
    <w:rsid w:val="003C5A7A"/>
    <w:rsid w:val="003C6F59"/>
    <w:rsid w:val="003C702D"/>
    <w:rsid w:val="003D03D3"/>
    <w:rsid w:val="003D6112"/>
    <w:rsid w:val="003E0329"/>
    <w:rsid w:val="003E0346"/>
    <w:rsid w:val="003E5240"/>
    <w:rsid w:val="003E598E"/>
    <w:rsid w:val="003E6438"/>
    <w:rsid w:val="003E7FA9"/>
    <w:rsid w:val="003F01E5"/>
    <w:rsid w:val="003F01EA"/>
    <w:rsid w:val="003F07E6"/>
    <w:rsid w:val="003F0D16"/>
    <w:rsid w:val="003F0EA8"/>
    <w:rsid w:val="003F129D"/>
    <w:rsid w:val="003F211B"/>
    <w:rsid w:val="003F5586"/>
    <w:rsid w:val="004006E5"/>
    <w:rsid w:val="00401EDA"/>
    <w:rsid w:val="004032C3"/>
    <w:rsid w:val="004038D7"/>
    <w:rsid w:val="00404BBB"/>
    <w:rsid w:val="00405831"/>
    <w:rsid w:val="00405BA7"/>
    <w:rsid w:val="004109E4"/>
    <w:rsid w:val="004128C2"/>
    <w:rsid w:val="00412F82"/>
    <w:rsid w:val="0041340A"/>
    <w:rsid w:val="00413A3C"/>
    <w:rsid w:val="00413B15"/>
    <w:rsid w:val="00413CBF"/>
    <w:rsid w:val="00413D49"/>
    <w:rsid w:val="00414A34"/>
    <w:rsid w:val="00421360"/>
    <w:rsid w:val="00421C7A"/>
    <w:rsid w:val="004222D7"/>
    <w:rsid w:val="0042382C"/>
    <w:rsid w:val="00423B83"/>
    <w:rsid w:val="00424048"/>
    <w:rsid w:val="004241E1"/>
    <w:rsid w:val="00425F8F"/>
    <w:rsid w:val="004302EF"/>
    <w:rsid w:val="00430336"/>
    <w:rsid w:val="00430DC2"/>
    <w:rsid w:val="0043338F"/>
    <w:rsid w:val="004353AD"/>
    <w:rsid w:val="00440BA6"/>
    <w:rsid w:val="00440E3E"/>
    <w:rsid w:val="00441CA2"/>
    <w:rsid w:val="00443F5A"/>
    <w:rsid w:val="0044491C"/>
    <w:rsid w:val="0044596E"/>
    <w:rsid w:val="00447976"/>
    <w:rsid w:val="00450167"/>
    <w:rsid w:val="00450C4B"/>
    <w:rsid w:val="00452112"/>
    <w:rsid w:val="00453AD5"/>
    <w:rsid w:val="00453C5B"/>
    <w:rsid w:val="00453E54"/>
    <w:rsid w:val="00454DFC"/>
    <w:rsid w:val="0045592C"/>
    <w:rsid w:val="00455D48"/>
    <w:rsid w:val="004562F2"/>
    <w:rsid w:val="00460711"/>
    <w:rsid w:val="00460932"/>
    <w:rsid w:val="00463A2A"/>
    <w:rsid w:val="0046417E"/>
    <w:rsid w:val="004649E8"/>
    <w:rsid w:val="00464A5B"/>
    <w:rsid w:val="0046643D"/>
    <w:rsid w:val="004675F1"/>
    <w:rsid w:val="004743F4"/>
    <w:rsid w:val="00474607"/>
    <w:rsid w:val="00476C52"/>
    <w:rsid w:val="00480E68"/>
    <w:rsid w:val="004818C2"/>
    <w:rsid w:val="00481C07"/>
    <w:rsid w:val="004835A1"/>
    <w:rsid w:val="00485F8C"/>
    <w:rsid w:val="00486132"/>
    <w:rsid w:val="00486212"/>
    <w:rsid w:val="00494BA6"/>
    <w:rsid w:val="00495236"/>
    <w:rsid w:val="0049595D"/>
    <w:rsid w:val="0049702B"/>
    <w:rsid w:val="004974E7"/>
    <w:rsid w:val="004A164F"/>
    <w:rsid w:val="004A1F10"/>
    <w:rsid w:val="004A2965"/>
    <w:rsid w:val="004A37F2"/>
    <w:rsid w:val="004A4FC3"/>
    <w:rsid w:val="004A5111"/>
    <w:rsid w:val="004A68B2"/>
    <w:rsid w:val="004B4661"/>
    <w:rsid w:val="004B4A5C"/>
    <w:rsid w:val="004B7CB8"/>
    <w:rsid w:val="004C0A9C"/>
    <w:rsid w:val="004C2DAE"/>
    <w:rsid w:val="004C7E66"/>
    <w:rsid w:val="004D0B77"/>
    <w:rsid w:val="004D2053"/>
    <w:rsid w:val="004D518C"/>
    <w:rsid w:val="004D5CC8"/>
    <w:rsid w:val="004D60CD"/>
    <w:rsid w:val="004D69B5"/>
    <w:rsid w:val="004D720A"/>
    <w:rsid w:val="004D7BC6"/>
    <w:rsid w:val="004E07BE"/>
    <w:rsid w:val="004E2CBF"/>
    <w:rsid w:val="004E2FF6"/>
    <w:rsid w:val="004E452A"/>
    <w:rsid w:val="004E7A9F"/>
    <w:rsid w:val="004E7F99"/>
    <w:rsid w:val="004F0625"/>
    <w:rsid w:val="004F2D9F"/>
    <w:rsid w:val="004F355E"/>
    <w:rsid w:val="004F47AC"/>
    <w:rsid w:val="004F6AF8"/>
    <w:rsid w:val="00500715"/>
    <w:rsid w:val="00500A2E"/>
    <w:rsid w:val="00503421"/>
    <w:rsid w:val="005039E7"/>
    <w:rsid w:val="0050588D"/>
    <w:rsid w:val="00507BB6"/>
    <w:rsid w:val="0051367B"/>
    <w:rsid w:val="00514272"/>
    <w:rsid w:val="00515225"/>
    <w:rsid w:val="005160F4"/>
    <w:rsid w:val="00516ACF"/>
    <w:rsid w:val="00517DDA"/>
    <w:rsid w:val="0052003E"/>
    <w:rsid w:val="00523894"/>
    <w:rsid w:val="005245D0"/>
    <w:rsid w:val="00526EDF"/>
    <w:rsid w:val="00527E8A"/>
    <w:rsid w:val="00527F15"/>
    <w:rsid w:val="00530449"/>
    <w:rsid w:val="00531ECD"/>
    <w:rsid w:val="00532236"/>
    <w:rsid w:val="00533C1D"/>
    <w:rsid w:val="00535B7E"/>
    <w:rsid w:val="00537062"/>
    <w:rsid w:val="0053706C"/>
    <w:rsid w:val="00537208"/>
    <w:rsid w:val="00537E01"/>
    <w:rsid w:val="00543B48"/>
    <w:rsid w:val="00543F5D"/>
    <w:rsid w:val="00544AE3"/>
    <w:rsid w:val="005466AE"/>
    <w:rsid w:val="0055418B"/>
    <w:rsid w:val="00554614"/>
    <w:rsid w:val="00554B2A"/>
    <w:rsid w:val="00557027"/>
    <w:rsid w:val="00561873"/>
    <w:rsid w:val="00561CE7"/>
    <w:rsid w:val="005626D0"/>
    <w:rsid w:val="00563E6E"/>
    <w:rsid w:val="00565989"/>
    <w:rsid w:val="005668BB"/>
    <w:rsid w:val="00570EC6"/>
    <w:rsid w:val="00571AEF"/>
    <w:rsid w:val="005725D2"/>
    <w:rsid w:val="00573250"/>
    <w:rsid w:val="00573A6B"/>
    <w:rsid w:val="00575D4B"/>
    <w:rsid w:val="00580D31"/>
    <w:rsid w:val="00581918"/>
    <w:rsid w:val="00585D48"/>
    <w:rsid w:val="00585D7C"/>
    <w:rsid w:val="00585F87"/>
    <w:rsid w:val="00592C70"/>
    <w:rsid w:val="00592DBB"/>
    <w:rsid w:val="00592E95"/>
    <w:rsid w:val="00597A3A"/>
    <w:rsid w:val="005A0700"/>
    <w:rsid w:val="005A0F05"/>
    <w:rsid w:val="005A242F"/>
    <w:rsid w:val="005A257E"/>
    <w:rsid w:val="005A3EC9"/>
    <w:rsid w:val="005A522E"/>
    <w:rsid w:val="005B207D"/>
    <w:rsid w:val="005B46F9"/>
    <w:rsid w:val="005B4B6A"/>
    <w:rsid w:val="005B4DBF"/>
    <w:rsid w:val="005B6821"/>
    <w:rsid w:val="005B6C8C"/>
    <w:rsid w:val="005B7039"/>
    <w:rsid w:val="005C0187"/>
    <w:rsid w:val="005C06B8"/>
    <w:rsid w:val="005C1D3A"/>
    <w:rsid w:val="005C52CC"/>
    <w:rsid w:val="005C6761"/>
    <w:rsid w:val="005C68E8"/>
    <w:rsid w:val="005C6E41"/>
    <w:rsid w:val="005D0225"/>
    <w:rsid w:val="005D0499"/>
    <w:rsid w:val="005D14C0"/>
    <w:rsid w:val="005D2571"/>
    <w:rsid w:val="005D2C41"/>
    <w:rsid w:val="005D398A"/>
    <w:rsid w:val="005D3E1D"/>
    <w:rsid w:val="005D4C2E"/>
    <w:rsid w:val="005D4FD4"/>
    <w:rsid w:val="005D576A"/>
    <w:rsid w:val="005D689C"/>
    <w:rsid w:val="005D7CAB"/>
    <w:rsid w:val="005E01E8"/>
    <w:rsid w:val="005E11F8"/>
    <w:rsid w:val="005E1607"/>
    <w:rsid w:val="005E20A2"/>
    <w:rsid w:val="005E38A2"/>
    <w:rsid w:val="005E6239"/>
    <w:rsid w:val="005E7B35"/>
    <w:rsid w:val="005F0E19"/>
    <w:rsid w:val="005F0FD4"/>
    <w:rsid w:val="005F1176"/>
    <w:rsid w:val="005F67FB"/>
    <w:rsid w:val="005F7984"/>
    <w:rsid w:val="00605BAF"/>
    <w:rsid w:val="0060684D"/>
    <w:rsid w:val="00606945"/>
    <w:rsid w:val="00607871"/>
    <w:rsid w:val="00612590"/>
    <w:rsid w:val="0061496E"/>
    <w:rsid w:val="0062014F"/>
    <w:rsid w:val="00620332"/>
    <w:rsid w:val="00621204"/>
    <w:rsid w:val="00621E19"/>
    <w:rsid w:val="00623650"/>
    <w:rsid w:val="006252A5"/>
    <w:rsid w:val="00625C4C"/>
    <w:rsid w:val="0062706F"/>
    <w:rsid w:val="00627AFE"/>
    <w:rsid w:val="006314B9"/>
    <w:rsid w:val="00632957"/>
    <w:rsid w:val="00634908"/>
    <w:rsid w:val="00636699"/>
    <w:rsid w:val="00637EEA"/>
    <w:rsid w:val="00642A27"/>
    <w:rsid w:val="00643BAB"/>
    <w:rsid w:val="00644492"/>
    <w:rsid w:val="00647BB1"/>
    <w:rsid w:val="00650299"/>
    <w:rsid w:val="0065094A"/>
    <w:rsid w:val="00650C0F"/>
    <w:rsid w:val="006510C0"/>
    <w:rsid w:val="00651A0D"/>
    <w:rsid w:val="00653CF0"/>
    <w:rsid w:val="00654268"/>
    <w:rsid w:val="006553FD"/>
    <w:rsid w:val="0066128C"/>
    <w:rsid w:val="006626CC"/>
    <w:rsid w:val="00662A4D"/>
    <w:rsid w:val="00662C14"/>
    <w:rsid w:val="00663099"/>
    <w:rsid w:val="00665BF4"/>
    <w:rsid w:val="00665DEE"/>
    <w:rsid w:val="00667BA0"/>
    <w:rsid w:val="00670633"/>
    <w:rsid w:val="00672033"/>
    <w:rsid w:val="00672F18"/>
    <w:rsid w:val="00673A44"/>
    <w:rsid w:val="006742D2"/>
    <w:rsid w:val="00674656"/>
    <w:rsid w:val="006749A3"/>
    <w:rsid w:val="0067513D"/>
    <w:rsid w:val="006756F9"/>
    <w:rsid w:val="006768DE"/>
    <w:rsid w:val="00677740"/>
    <w:rsid w:val="00682A06"/>
    <w:rsid w:val="00684B62"/>
    <w:rsid w:val="00684E44"/>
    <w:rsid w:val="00685DC1"/>
    <w:rsid w:val="00687256"/>
    <w:rsid w:val="00690197"/>
    <w:rsid w:val="00691472"/>
    <w:rsid w:val="00691A12"/>
    <w:rsid w:val="00692DAF"/>
    <w:rsid w:val="0069375A"/>
    <w:rsid w:val="00694294"/>
    <w:rsid w:val="006945F8"/>
    <w:rsid w:val="0069606A"/>
    <w:rsid w:val="006A04BA"/>
    <w:rsid w:val="006A4211"/>
    <w:rsid w:val="006A4889"/>
    <w:rsid w:val="006A609B"/>
    <w:rsid w:val="006A642D"/>
    <w:rsid w:val="006A7CF3"/>
    <w:rsid w:val="006B0B8A"/>
    <w:rsid w:val="006B2EE1"/>
    <w:rsid w:val="006B470E"/>
    <w:rsid w:val="006B6DDF"/>
    <w:rsid w:val="006B7259"/>
    <w:rsid w:val="006C02AE"/>
    <w:rsid w:val="006C1A71"/>
    <w:rsid w:val="006C1C27"/>
    <w:rsid w:val="006C20E4"/>
    <w:rsid w:val="006C292A"/>
    <w:rsid w:val="006C3564"/>
    <w:rsid w:val="006C3565"/>
    <w:rsid w:val="006C36B2"/>
    <w:rsid w:val="006C3C44"/>
    <w:rsid w:val="006C3E0D"/>
    <w:rsid w:val="006C5A7C"/>
    <w:rsid w:val="006D02EF"/>
    <w:rsid w:val="006D2939"/>
    <w:rsid w:val="006D29D7"/>
    <w:rsid w:val="006D3757"/>
    <w:rsid w:val="006D7DA8"/>
    <w:rsid w:val="006E11BD"/>
    <w:rsid w:val="006E5B68"/>
    <w:rsid w:val="006E672D"/>
    <w:rsid w:val="006E7931"/>
    <w:rsid w:val="006F00CB"/>
    <w:rsid w:val="006F3362"/>
    <w:rsid w:val="006F41D9"/>
    <w:rsid w:val="006F4654"/>
    <w:rsid w:val="006F605E"/>
    <w:rsid w:val="006F6341"/>
    <w:rsid w:val="00703DAD"/>
    <w:rsid w:val="007060F0"/>
    <w:rsid w:val="00707D47"/>
    <w:rsid w:val="00710828"/>
    <w:rsid w:val="007109EA"/>
    <w:rsid w:val="00710DB7"/>
    <w:rsid w:val="00712E6D"/>
    <w:rsid w:val="007133D2"/>
    <w:rsid w:val="00716E94"/>
    <w:rsid w:val="00716FB5"/>
    <w:rsid w:val="0072155C"/>
    <w:rsid w:val="0072196F"/>
    <w:rsid w:val="00724D43"/>
    <w:rsid w:val="00726ECF"/>
    <w:rsid w:val="00732CCC"/>
    <w:rsid w:val="00732EF6"/>
    <w:rsid w:val="0073309A"/>
    <w:rsid w:val="00733746"/>
    <w:rsid w:val="00733B71"/>
    <w:rsid w:val="007417EF"/>
    <w:rsid w:val="0074240E"/>
    <w:rsid w:val="00742E9C"/>
    <w:rsid w:val="00743FD7"/>
    <w:rsid w:val="007468FE"/>
    <w:rsid w:val="00746A72"/>
    <w:rsid w:val="00747C67"/>
    <w:rsid w:val="007509EE"/>
    <w:rsid w:val="00750AE8"/>
    <w:rsid w:val="007519DF"/>
    <w:rsid w:val="007531E4"/>
    <w:rsid w:val="00753A54"/>
    <w:rsid w:val="007545ED"/>
    <w:rsid w:val="00754989"/>
    <w:rsid w:val="007554FA"/>
    <w:rsid w:val="00755E11"/>
    <w:rsid w:val="00755EB2"/>
    <w:rsid w:val="007629B4"/>
    <w:rsid w:val="00762ED1"/>
    <w:rsid w:val="00766248"/>
    <w:rsid w:val="007700E5"/>
    <w:rsid w:val="00770F3F"/>
    <w:rsid w:val="007729BC"/>
    <w:rsid w:val="00777701"/>
    <w:rsid w:val="00777DC9"/>
    <w:rsid w:val="0078030E"/>
    <w:rsid w:val="007806BD"/>
    <w:rsid w:val="0078138F"/>
    <w:rsid w:val="00781CCC"/>
    <w:rsid w:val="00785054"/>
    <w:rsid w:val="007870A4"/>
    <w:rsid w:val="00790677"/>
    <w:rsid w:val="00794567"/>
    <w:rsid w:val="00796C08"/>
    <w:rsid w:val="007974AC"/>
    <w:rsid w:val="007A01B9"/>
    <w:rsid w:val="007A1116"/>
    <w:rsid w:val="007A3986"/>
    <w:rsid w:val="007A4212"/>
    <w:rsid w:val="007A439E"/>
    <w:rsid w:val="007A46A0"/>
    <w:rsid w:val="007A580C"/>
    <w:rsid w:val="007B01FE"/>
    <w:rsid w:val="007B1325"/>
    <w:rsid w:val="007B217E"/>
    <w:rsid w:val="007B4054"/>
    <w:rsid w:val="007B5232"/>
    <w:rsid w:val="007B5E22"/>
    <w:rsid w:val="007B6F2D"/>
    <w:rsid w:val="007B761F"/>
    <w:rsid w:val="007B7B09"/>
    <w:rsid w:val="007B7E97"/>
    <w:rsid w:val="007C0C2F"/>
    <w:rsid w:val="007C64B1"/>
    <w:rsid w:val="007D125F"/>
    <w:rsid w:val="007D12A7"/>
    <w:rsid w:val="007D22D9"/>
    <w:rsid w:val="007D246C"/>
    <w:rsid w:val="007D3F46"/>
    <w:rsid w:val="007D4812"/>
    <w:rsid w:val="007D788D"/>
    <w:rsid w:val="007D7C4C"/>
    <w:rsid w:val="007E185F"/>
    <w:rsid w:val="007E29B9"/>
    <w:rsid w:val="007E2E64"/>
    <w:rsid w:val="007E3ECB"/>
    <w:rsid w:val="007E5C53"/>
    <w:rsid w:val="007F19E8"/>
    <w:rsid w:val="007F1FE4"/>
    <w:rsid w:val="007F429C"/>
    <w:rsid w:val="007F53DC"/>
    <w:rsid w:val="007F5924"/>
    <w:rsid w:val="007F7380"/>
    <w:rsid w:val="007F753B"/>
    <w:rsid w:val="007F7AE7"/>
    <w:rsid w:val="007F7FD4"/>
    <w:rsid w:val="008000C7"/>
    <w:rsid w:val="0080119E"/>
    <w:rsid w:val="00803138"/>
    <w:rsid w:val="0080447B"/>
    <w:rsid w:val="0080478E"/>
    <w:rsid w:val="008053A2"/>
    <w:rsid w:val="00805E72"/>
    <w:rsid w:val="008066B2"/>
    <w:rsid w:val="00806CEC"/>
    <w:rsid w:val="008079E3"/>
    <w:rsid w:val="008132CD"/>
    <w:rsid w:val="00814CC3"/>
    <w:rsid w:val="00814E17"/>
    <w:rsid w:val="00820604"/>
    <w:rsid w:val="00822605"/>
    <w:rsid w:val="00823E28"/>
    <w:rsid w:val="00825C1D"/>
    <w:rsid w:val="008268A0"/>
    <w:rsid w:val="008268B3"/>
    <w:rsid w:val="00831510"/>
    <w:rsid w:val="00831EF4"/>
    <w:rsid w:val="00832AF0"/>
    <w:rsid w:val="00833C52"/>
    <w:rsid w:val="00840804"/>
    <w:rsid w:val="008416C4"/>
    <w:rsid w:val="008417F0"/>
    <w:rsid w:val="00841C83"/>
    <w:rsid w:val="008432C9"/>
    <w:rsid w:val="0084381B"/>
    <w:rsid w:val="00843F4C"/>
    <w:rsid w:val="00843F51"/>
    <w:rsid w:val="00845F7B"/>
    <w:rsid w:val="008519D4"/>
    <w:rsid w:val="00853900"/>
    <w:rsid w:val="008555DA"/>
    <w:rsid w:val="00856FED"/>
    <w:rsid w:val="0085785A"/>
    <w:rsid w:val="00861857"/>
    <w:rsid w:val="008629F4"/>
    <w:rsid w:val="0086794D"/>
    <w:rsid w:val="00867DF9"/>
    <w:rsid w:val="008700F3"/>
    <w:rsid w:val="0087126E"/>
    <w:rsid w:val="00873098"/>
    <w:rsid w:val="008764BC"/>
    <w:rsid w:val="0087736D"/>
    <w:rsid w:val="00880E76"/>
    <w:rsid w:val="00881EC8"/>
    <w:rsid w:val="008834C9"/>
    <w:rsid w:val="00883511"/>
    <w:rsid w:val="00884455"/>
    <w:rsid w:val="00885643"/>
    <w:rsid w:val="00886A6F"/>
    <w:rsid w:val="008901B8"/>
    <w:rsid w:val="008903AE"/>
    <w:rsid w:val="00891045"/>
    <w:rsid w:val="00891110"/>
    <w:rsid w:val="00891553"/>
    <w:rsid w:val="008924F8"/>
    <w:rsid w:val="00895C93"/>
    <w:rsid w:val="00896622"/>
    <w:rsid w:val="00896866"/>
    <w:rsid w:val="00896ADD"/>
    <w:rsid w:val="008A1B6E"/>
    <w:rsid w:val="008A2169"/>
    <w:rsid w:val="008A41A5"/>
    <w:rsid w:val="008A47AD"/>
    <w:rsid w:val="008A5729"/>
    <w:rsid w:val="008A6362"/>
    <w:rsid w:val="008A76D9"/>
    <w:rsid w:val="008A7819"/>
    <w:rsid w:val="008B18C1"/>
    <w:rsid w:val="008B1DE1"/>
    <w:rsid w:val="008B23F8"/>
    <w:rsid w:val="008B4E64"/>
    <w:rsid w:val="008B63C6"/>
    <w:rsid w:val="008B6A26"/>
    <w:rsid w:val="008C02F3"/>
    <w:rsid w:val="008C083F"/>
    <w:rsid w:val="008C181D"/>
    <w:rsid w:val="008C34C4"/>
    <w:rsid w:val="008C41EA"/>
    <w:rsid w:val="008C4F76"/>
    <w:rsid w:val="008C564F"/>
    <w:rsid w:val="008C62BF"/>
    <w:rsid w:val="008C679B"/>
    <w:rsid w:val="008D02D8"/>
    <w:rsid w:val="008D2A29"/>
    <w:rsid w:val="008D4B0A"/>
    <w:rsid w:val="008D4D47"/>
    <w:rsid w:val="008D4FA1"/>
    <w:rsid w:val="008D5C04"/>
    <w:rsid w:val="008D5E7C"/>
    <w:rsid w:val="008D6485"/>
    <w:rsid w:val="008D6546"/>
    <w:rsid w:val="008D6838"/>
    <w:rsid w:val="008D6B05"/>
    <w:rsid w:val="008E3A31"/>
    <w:rsid w:val="008E4549"/>
    <w:rsid w:val="008E6CCD"/>
    <w:rsid w:val="008F1DAC"/>
    <w:rsid w:val="008F310A"/>
    <w:rsid w:val="008F3D22"/>
    <w:rsid w:val="008F4473"/>
    <w:rsid w:val="008F4740"/>
    <w:rsid w:val="008F5064"/>
    <w:rsid w:val="008F5755"/>
    <w:rsid w:val="008F58D4"/>
    <w:rsid w:val="008F5B3F"/>
    <w:rsid w:val="008F5C4D"/>
    <w:rsid w:val="008F6EB1"/>
    <w:rsid w:val="00900CB8"/>
    <w:rsid w:val="00900E0D"/>
    <w:rsid w:val="0090206F"/>
    <w:rsid w:val="00906091"/>
    <w:rsid w:val="00906123"/>
    <w:rsid w:val="00906A84"/>
    <w:rsid w:val="00911804"/>
    <w:rsid w:val="00913F13"/>
    <w:rsid w:val="00916626"/>
    <w:rsid w:val="00916C88"/>
    <w:rsid w:val="00917680"/>
    <w:rsid w:val="009203A4"/>
    <w:rsid w:val="00920BBB"/>
    <w:rsid w:val="009219A4"/>
    <w:rsid w:val="00924491"/>
    <w:rsid w:val="009259CA"/>
    <w:rsid w:val="009260BC"/>
    <w:rsid w:val="00926ED0"/>
    <w:rsid w:val="0092791E"/>
    <w:rsid w:val="0093371C"/>
    <w:rsid w:val="00934A54"/>
    <w:rsid w:val="00936857"/>
    <w:rsid w:val="00951EED"/>
    <w:rsid w:val="00952257"/>
    <w:rsid w:val="0095446A"/>
    <w:rsid w:val="00955079"/>
    <w:rsid w:val="0095538B"/>
    <w:rsid w:val="00956449"/>
    <w:rsid w:val="00956A94"/>
    <w:rsid w:val="009613E2"/>
    <w:rsid w:val="00961853"/>
    <w:rsid w:val="00963CCF"/>
    <w:rsid w:val="00963F14"/>
    <w:rsid w:val="009655C5"/>
    <w:rsid w:val="0096564B"/>
    <w:rsid w:val="009714DB"/>
    <w:rsid w:val="00974A2C"/>
    <w:rsid w:val="00975954"/>
    <w:rsid w:val="00976099"/>
    <w:rsid w:val="00977919"/>
    <w:rsid w:val="00980B29"/>
    <w:rsid w:val="009847D3"/>
    <w:rsid w:val="00985EC7"/>
    <w:rsid w:val="00987F99"/>
    <w:rsid w:val="00993748"/>
    <w:rsid w:val="00995362"/>
    <w:rsid w:val="00995F9A"/>
    <w:rsid w:val="00996A87"/>
    <w:rsid w:val="00997ADF"/>
    <w:rsid w:val="009A2120"/>
    <w:rsid w:val="009A31C6"/>
    <w:rsid w:val="009A47A9"/>
    <w:rsid w:val="009A6366"/>
    <w:rsid w:val="009A709E"/>
    <w:rsid w:val="009A70C6"/>
    <w:rsid w:val="009A75EC"/>
    <w:rsid w:val="009A763B"/>
    <w:rsid w:val="009A7964"/>
    <w:rsid w:val="009B0C57"/>
    <w:rsid w:val="009B0F24"/>
    <w:rsid w:val="009B1B1D"/>
    <w:rsid w:val="009B438F"/>
    <w:rsid w:val="009B6211"/>
    <w:rsid w:val="009B7936"/>
    <w:rsid w:val="009C02E8"/>
    <w:rsid w:val="009C2872"/>
    <w:rsid w:val="009C5003"/>
    <w:rsid w:val="009C52F6"/>
    <w:rsid w:val="009C55D0"/>
    <w:rsid w:val="009C65CC"/>
    <w:rsid w:val="009C6622"/>
    <w:rsid w:val="009D1225"/>
    <w:rsid w:val="009D209B"/>
    <w:rsid w:val="009D298C"/>
    <w:rsid w:val="009D29DE"/>
    <w:rsid w:val="009D31C7"/>
    <w:rsid w:val="009D4D74"/>
    <w:rsid w:val="009D5A5C"/>
    <w:rsid w:val="009D66AB"/>
    <w:rsid w:val="009D782A"/>
    <w:rsid w:val="009E41E0"/>
    <w:rsid w:val="009E45F9"/>
    <w:rsid w:val="009E4656"/>
    <w:rsid w:val="009E4932"/>
    <w:rsid w:val="009E4E0C"/>
    <w:rsid w:val="009E5AF6"/>
    <w:rsid w:val="009E5E7C"/>
    <w:rsid w:val="009E7A08"/>
    <w:rsid w:val="009F0FCE"/>
    <w:rsid w:val="009F1FF7"/>
    <w:rsid w:val="009F39CE"/>
    <w:rsid w:val="009F5668"/>
    <w:rsid w:val="00A02C1D"/>
    <w:rsid w:val="00A03069"/>
    <w:rsid w:val="00A03568"/>
    <w:rsid w:val="00A03A25"/>
    <w:rsid w:val="00A04B86"/>
    <w:rsid w:val="00A0757F"/>
    <w:rsid w:val="00A110D0"/>
    <w:rsid w:val="00A12888"/>
    <w:rsid w:val="00A12B24"/>
    <w:rsid w:val="00A12EC2"/>
    <w:rsid w:val="00A14A33"/>
    <w:rsid w:val="00A16649"/>
    <w:rsid w:val="00A203A8"/>
    <w:rsid w:val="00A213F1"/>
    <w:rsid w:val="00A21E38"/>
    <w:rsid w:val="00A23AA4"/>
    <w:rsid w:val="00A23C3E"/>
    <w:rsid w:val="00A250D6"/>
    <w:rsid w:val="00A2753E"/>
    <w:rsid w:val="00A32899"/>
    <w:rsid w:val="00A33BC6"/>
    <w:rsid w:val="00A35A2E"/>
    <w:rsid w:val="00A37C9C"/>
    <w:rsid w:val="00A41681"/>
    <w:rsid w:val="00A41D0D"/>
    <w:rsid w:val="00A41FE9"/>
    <w:rsid w:val="00A4543C"/>
    <w:rsid w:val="00A45D64"/>
    <w:rsid w:val="00A5094A"/>
    <w:rsid w:val="00A5493A"/>
    <w:rsid w:val="00A566AA"/>
    <w:rsid w:val="00A57A4A"/>
    <w:rsid w:val="00A60D03"/>
    <w:rsid w:val="00A6220C"/>
    <w:rsid w:val="00A64FF7"/>
    <w:rsid w:val="00A662D2"/>
    <w:rsid w:val="00A703F6"/>
    <w:rsid w:val="00A71DDA"/>
    <w:rsid w:val="00A74B3A"/>
    <w:rsid w:val="00A87B1A"/>
    <w:rsid w:val="00A90931"/>
    <w:rsid w:val="00A9155A"/>
    <w:rsid w:val="00A93B50"/>
    <w:rsid w:val="00A9458F"/>
    <w:rsid w:val="00A97954"/>
    <w:rsid w:val="00A97D04"/>
    <w:rsid w:val="00AA124E"/>
    <w:rsid w:val="00AA2518"/>
    <w:rsid w:val="00AA5063"/>
    <w:rsid w:val="00AA6796"/>
    <w:rsid w:val="00AB1280"/>
    <w:rsid w:val="00AB269B"/>
    <w:rsid w:val="00AB4C65"/>
    <w:rsid w:val="00AB54B6"/>
    <w:rsid w:val="00AB55C5"/>
    <w:rsid w:val="00AB7609"/>
    <w:rsid w:val="00AB76D3"/>
    <w:rsid w:val="00AC2902"/>
    <w:rsid w:val="00AC3C15"/>
    <w:rsid w:val="00AC7726"/>
    <w:rsid w:val="00AD2357"/>
    <w:rsid w:val="00AD4085"/>
    <w:rsid w:val="00AD4657"/>
    <w:rsid w:val="00AD5244"/>
    <w:rsid w:val="00AD6550"/>
    <w:rsid w:val="00AD66CA"/>
    <w:rsid w:val="00AD6A15"/>
    <w:rsid w:val="00AD7585"/>
    <w:rsid w:val="00AE041B"/>
    <w:rsid w:val="00AE0D13"/>
    <w:rsid w:val="00AE71D1"/>
    <w:rsid w:val="00AF088D"/>
    <w:rsid w:val="00AF1AE3"/>
    <w:rsid w:val="00AF21C3"/>
    <w:rsid w:val="00AF26DE"/>
    <w:rsid w:val="00AF29B5"/>
    <w:rsid w:val="00AF2D9F"/>
    <w:rsid w:val="00AF395B"/>
    <w:rsid w:val="00AF3EE7"/>
    <w:rsid w:val="00AF4734"/>
    <w:rsid w:val="00AF5451"/>
    <w:rsid w:val="00AF7D4A"/>
    <w:rsid w:val="00B01667"/>
    <w:rsid w:val="00B03A88"/>
    <w:rsid w:val="00B03C36"/>
    <w:rsid w:val="00B073F3"/>
    <w:rsid w:val="00B1185B"/>
    <w:rsid w:val="00B12109"/>
    <w:rsid w:val="00B129FA"/>
    <w:rsid w:val="00B13CDD"/>
    <w:rsid w:val="00B14811"/>
    <w:rsid w:val="00B14BBC"/>
    <w:rsid w:val="00B17294"/>
    <w:rsid w:val="00B17FBA"/>
    <w:rsid w:val="00B223FA"/>
    <w:rsid w:val="00B238BA"/>
    <w:rsid w:val="00B25AA9"/>
    <w:rsid w:val="00B26C13"/>
    <w:rsid w:val="00B275AE"/>
    <w:rsid w:val="00B30093"/>
    <w:rsid w:val="00B31950"/>
    <w:rsid w:val="00B33608"/>
    <w:rsid w:val="00B352D5"/>
    <w:rsid w:val="00B3675F"/>
    <w:rsid w:val="00B37A7B"/>
    <w:rsid w:val="00B37E4E"/>
    <w:rsid w:val="00B42D1F"/>
    <w:rsid w:val="00B44288"/>
    <w:rsid w:val="00B44B3E"/>
    <w:rsid w:val="00B45BE5"/>
    <w:rsid w:val="00B46277"/>
    <w:rsid w:val="00B46E1C"/>
    <w:rsid w:val="00B4741E"/>
    <w:rsid w:val="00B4782A"/>
    <w:rsid w:val="00B503EB"/>
    <w:rsid w:val="00B529A7"/>
    <w:rsid w:val="00B52E73"/>
    <w:rsid w:val="00B5601B"/>
    <w:rsid w:val="00B56BD0"/>
    <w:rsid w:val="00B573DD"/>
    <w:rsid w:val="00B60E4E"/>
    <w:rsid w:val="00B61EBC"/>
    <w:rsid w:val="00B6685E"/>
    <w:rsid w:val="00B674F7"/>
    <w:rsid w:val="00B67FEF"/>
    <w:rsid w:val="00B711BE"/>
    <w:rsid w:val="00B717CA"/>
    <w:rsid w:val="00B71CD1"/>
    <w:rsid w:val="00B73536"/>
    <w:rsid w:val="00B74FF3"/>
    <w:rsid w:val="00B75948"/>
    <w:rsid w:val="00B76839"/>
    <w:rsid w:val="00B77874"/>
    <w:rsid w:val="00B77BBB"/>
    <w:rsid w:val="00B8023D"/>
    <w:rsid w:val="00B81B84"/>
    <w:rsid w:val="00B84AE1"/>
    <w:rsid w:val="00B90721"/>
    <w:rsid w:val="00B91253"/>
    <w:rsid w:val="00B92300"/>
    <w:rsid w:val="00B9255F"/>
    <w:rsid w:val="00B92927"/>
    <w:rsid w:val="00B9297E"/>
    <w:rsid w:val="00B92AE2"/>
    <w:rsid w:val="00B931CF"/>
    <w:rsid w:val="00B93AD2"/>
    <w:rsid w:val="00B94348"/>
    <w:rsid w:val="00BA08C6"/>
    <w:rsid w:val="00BA0D25"/>
    <w:rsid w:val="00BA13A1"/>
    <w:rsid w:val="00BA1AD5"/>
    <w:rsid w:val="00BA3115"/>
    <w:rsid w:val="00BA3B89"/>
    <w:rsid w:val="00BA5012"/>
    <w:rsid w:val="00BA64C4"/>
    <w:rsid w:val="00BA6E48"/>
    <w:rsid w:val="00BB2205"/>
    <w:rsid w:val="00BB293B"/>
    <w:rsid w:val="00BB2D49"/>
    <w:rsid w:val="00BB4CDB"/>
    <w:rsid w:val="00BB71B4"/>
    <w:rsid w:val="00BC06EC"/>
    <w:rsid w:val="00BC28F7"/>
    <w:rsid w:val="00BC2CC3"/>
    <w:rsid w:val="00BC58D3"/>
    <w:rsid w:val="00BC7F5D"/>
    <w:rsid w:val="00BD09D6"/>
    <w:rsid w:val="00BD0A55"/>
    <w:rsid w:val="00BD4E30"/>
    <w:rsid w:val="00BD4F4D"/>
    <w:rsid w:val="00BD562F"/>
    <w:rsid w:val="00BE1263"/>
    <w:rsid w:val="00BE1A94"/>
    <w:rsid w:val="00BE5E1C"/>
    <w:rsid w:val="00BE741E"/>
    <w:rsid w:val="00BE786B"/>
    <w:rsid w:val="00BE7FCA"/>
    <w:rsid w:val="00BF0847"/>
    <w:rsid w:val="00BF10F2"/>
    <w:rsid w:val="00BF147D"/>
    <w:rsid w:val="00BF3D70"/>
    <w:rsid w:val="00BF407D"/>
    <w:rsid w:val="00BF6624"/>
    <w:rsid w:val="00C04953"/>
    <w:rsid w:val="00C04C65"/>
    <w:rsid w:val="00C05463"/>
    <w:rsid w:val="00C05CD3"/>
    <w:rsid w:val="00C10178"/>
    <w:rsid w:val="00C14B77"/>
    <w:rsid w:val="00C14EB3"/>
    <w:rsid w:val="00C157E9"/>
    <w:rsid w:val="00C17271"/>
    <w:rsid w:val="00C1762D"/>
    <w:rsid w:val="00C209F7"/>
    <w:rsid w:val="00C226B0"/>
    <w:rsid w:val="00C22AB3"/>
    <w:rsid w:val="00C34589"/>
    <w:rsid w:val="00C35433"/>
    <w:rsid w:val="00C37E40"/>
    <w:rsid w:val="00C409F2"/>
    <w:rsid w:val="00C41687"/>
    <w:rsid w:val="00C4229D"/>
    <w:rsid w:val="00C43A84"/>
    <w:rsid w:val="00C44DA7"/>
    <w:rsid w:val="00C44F55"/>
    <w:rsid w:val="00C4554B"/>
    <w:rsid w:val="00C457BC"/>
    <w:rsid w:val="00C527B6"/>
    <w:rsid w:val="00C53256"/>
    <w:rsid w:val="00C53587"/>
    <w:rsid w:val="00C61759"/>
    <w:rsid w:val="00C61CDB"/>
    <w:rsid w:val="00C61F69"/>
    <w:rsid w:val="00C622A7"/>
    <w:rsid w:val="00C624AF"/>
    <w:rsid w:val="00C63B3C"/>
    <w:rsid w:val="00C63F48"/>
    <w:rsid w:val="00C66CCB"/>
    <w:rsid w:val="00C7124E"/>
    <w:rsid w:val="00C7273C"/>
    <w:rsid w:val="00C73D56"/>
    <w:rsid w:val="00C82056"/>
    <w:rsid w:val="00C8320E"/>
    <w:rsid w:val="00C83F36"/>
    <w:rsid w:val="00C844F2"/>
    <w:rsid w:val="00C8482F"/>
    <w:rsid w:val="00C85D63"/>
    <w:rsid w:val="00C86741"/>
    <w:rsid w:val="00C903B0"/>
    <w:rsid w:val="00C90E16"/>
    <w:rsid w:val="00C95D98"/>
    <w:rsid w:val="00C960DC"/>
    <w:rsid w:val="00C96C8C"/>
    <w:rsid w:val="00C96E31"/>
    <w:rsid w:val="00C96E37"/>
    <w:rsid w:val="00CA2BEE"/>
    <w:rsid w:val="00CA621E"/>
    <w:rsid w:val="00CA644C"/>
    <w:rsid w:val="00CA64F3"/>
    <w:rsid w:val="00CA76BE"/>
    <w:rsid w:val="00CB0FF4"/>
    <w:rsid w:val="00CB208D"/>
    <w:rsid w:val="00CB3511"/>
    <w:rsid w:val="00CB438C"/>
    <w:rsid w:val="00CB4E6E"/>
    <w:rsid w:val="00CC02F1"/>
    <w:rsid w:val="00CC16C4"/>
    <w:rsid w:val="00CC1927"/>
    <w:rsid w:val="00CC3948"/>
    <w:rsid w:val="00CC46E0"/>
    <w:rsid w:val="00CC4A87"/>
    <w:rsid w:val="00CC4F9D"/>
    <w:rsid w:val="00CC5449"/>
    <w:rsid w:val="00CC5A61"/>
    <w:rsid w:val="00CC5C56"/>
    <w:rsid w:val="00CC611E"/>
    <w:rsid w:val="00CD0248"/>
    <w:rsid w:val="00CD320E"/>
    <w:rsid w:val="00CD6085"/>
    <w:rsid w:val="00CE47C0"/>
    <w:rsid w:val="00CE4AC0"/>
    <w:rsid w:val="00CE5219"/>
    <w:rsid w:val="00CE6EDE"/>
    <w:rsid w:val="00CE7DDA"/>
    <w:rsid w:val="00CF02CB"/>
    <w:rsid w:val="00CF0762"/>
    <w:rsid w:val="00CF44F8"/>
    <w:rsid w:val="00CF5397"/>
    <w:rsid w:val="00CF5A81"/>
    <w:rsid w:val="00CF5D4D"/>
    <w:rsid w:val="00CF608F"/>
    <w:rsid w:val="00D038BB"/>
    <w:rsid w:val="00D0649C"/>
    <w:rsid w:val="00D10A92"/>
    <w:rsid w:val="00D10B13"/>
    <w:rsid w:val="00D10DB1"/>
    <w:rsid w:val="00D10FB8"/>
    <w:rsid w:val="00D15E91"/>
    <w:rsid w:val="00D2177B"/>
    <w:rsid w:val="00D22687"/>
    <w:rsid w:val="00D23670"/>
    <w:rsid w:val="00D237DB"/>
    <w:rsid w:val="00D23EC1"/>
    <w:rsid w:val="00D2430D"/>
    <w:rsid w:val="00D24EA6"/>
    <w:rsid w:val="00D252E2"/>
    <w:rsid w:val="00D267EF"/>
    <w:rsid w:val="00D30881"/>
    <w:rsid w:val="00D34158"/>
    <w:rsid w:val="00D352BD"/>
    <w:rsid w:val="00D360C7"/>
    <w:rsid w:val="00D37C6F"/>
    <w:rsid w:val="00D4137B"/>
    <w:rsid w:val="00D44F3C"/>
    <w:rsid w:val="00D50E74"/>
    <w:rsid w:val="00D51406"/>
    <w:rsid w:val="00D5143E"/>
    <w:rsid w:val="00D52C75"/>
    <w:rsid w:val="00D535EB"/>
    <w:rsid w:val="00D53D17"/>
    <w:rsid w:val="00D5464D"/>
    <w:rsid w:val="00D54ED6"/>
    <w:rsid w:val="00D554E8"/>
    <w:rsid w:val="00D600B2"/>
    <w:rsid w:val="00D60D6C"/>
    <w:rsid w:val="00D6102F"/>
    <w:rsid w:val="00D629B5"/>
    <w:rsid w:val="00D65502"/>
    <w:rsid w:val="00D6659F"/>
    <w:rsid w:val="00D71C40"/>
    <w:rsid w:val="00D72CB8"/>
    <w:rsid w:val="00D72F7D"/>
    <w:rsid w:val="00D7315B"/>
    <w:rsid w:val="00D73A13"/>
    <w:rsid w:val="00D7412E"/>
    <w:rsid w:val="00D7469F"/>
    <w:rsid w:val="00D768C1"/>
    <w:rsid w:val="00D771E7"/>
    <w:rsid w:val="00D82F8E"/>
    <w:rsid w:val="00D84F15"/>
    <w:rsid w:val="00D8761E"/>
    <w:rsid w:val="00D952C5"/>
    <w:rsid w:val="00D96949"/>
    <w:rsid w:val="00D9780A"/>
    <w:rsid w:val="00DA0203"/>
    <w:rsid w:val="00DA183C"/>
    <w:rsid w:val="00DA1F1E"/>
    <w:rsid w:val="00DA37A0"/>
    <w:rsid w:val="00DA3DFE"/>
    <w:rsid w:val="00DA4E4E"/>
    <w:rsid w:val="00DA5A55"/>
    <w:rsid w:val="00DA720C"/>
    <w:rsid w:val="00DB0DE4"/>
    <w:rsid w:val="00DB2C91"/>
    <w:rsid w:val="00DB4016"/>
    <w:rsid w:val="00DB430C"/>
    <w:rsid w:val="00DB4590"/>
    <w:rsid w:val="00DB6949"/>
    <w:rsid w:val="00DB6F95"/>
    <w:rsid w:val="00DB7081"/>
    <w:rsid w:val="00DC0469"/>
    <w:rsid w:val="00DC2BEA"/>
    <w:rsid w:val="00DC37E6"/>
    <w:rsid w:val="00DC3953"/>
    <w:rsid w:val="00DC54BF"/>
    <w:rsid w:val="00DC5B31"/>
    <w:rsid w:val="00DC5CEA"/>
    <w:rsid w:val="00DC7182"/>
    <w:rsid w:val="00DD3435"/>
    <w:rsid w:val="00DD44E5"/>
    <w:rsid w:val="00DD5279"/>
    <w:rsid w:val="00DD5315"/>
    <w:rsid w:val="00DE3C5E"/>
    <w:rsid w:val="00DE4FAD"/>
    <w:rsid w:val="00DE6892"/>
    <w:rsid w:val="00DF1C07"/>
    <w:rsid w:val="00DF2142"/>
    <w:rsid w:val="00DF43C3"/>
    <w:rsid w:val="00DF55DF"/>
    <w:rsid w:val="00DF7289"/>
    <w:rsid w:val="00E03C7A"/>
    <w:rsid w:val="00E040EE"/>
    <w:rsid w:val="00E06D45"/>
    <w:rsid w:val="00E0743C"/>
    <w:rsid w:val="00E07924"/>
    <w:rsid w:val="00E10B03"/>
    <w:rsid w:val="00E10C63"/>
    <w:rsid w:val="00E126B9"/>
    <w:rsid w:val="00E12FAC"/>
    <w:rsid w:val="00E16901"/>
    <w:rsid w:val="00E16AAA"/>
    <w:rsid w:val="00E21987"/>
    <w:rsid w:val="00E21C6C"/>
    <w:rsid w:val="00E24030"/>
    <w:rsid w:val="00E24A98"/>
    <w:rsid w:val="00E25439"/>
    <w:rsid w:val="00E25677"/>
    <w:rsid w:val="00E27726"/>
    <w:rsid w:val="00E328A0"/>
    <w:rsid w:val="00E32EAF"/>
    <w:rsid w:val="00E33115"/>
    <w:rsid w:val="00E344FE"/>
    <w:rsid w:val="00E347BE"/>
    <w:rsid w:val="00E34BE6"/>
    <w:rsid w:val="00E37496"/>
    <w:rsid w:val="00E423EB"/>
    <w:rsid w:val="00E430BF"/>
    <w:rsid w:val="00E43D65"/>
    <w:rsid w:val="00E44B02"/>
    <w:rsid w:val="00E44E97"/>
    <w:rsid w:val="00E45940"/>
    <w:rsid w:val="00E46208"/>
    <w:rsid w:val="00E46B3C"/>
    <w:rsid w:val="00E52319"/>
    <w:rsid w:val="00E529FB"/>
    <w:rsid w:val="00E54F8E"/>
    <w:rsid w:val="00E55797"/>
    <w:rsid w:val="00E62988"/>
    <w:rsid w:val="00E64217"/>
    <w:rsid w:val="00E64437"/>
    <w:rsid w:val="00E64AFC"/>
    <w:rsid w:val="00E6511A"/>
    <w:rsid w:val="00E65E40"/>
    <w:rsid w:val="00E661FF"/>
    <w:rsid w:val="00E66F49"/>
    <w:rsid w:val="00E67F93"/>
    <w:rsid w:val="00E70D7F"/>
    <w:rsid w:val="00E74996"/>
    <w:rsid w:val="00E75AD6"/>
    <w:rsid w:val="00E75F70"/>
    <w:rsid w:val="00E76E01"/>
    <w:rsid w:val="00E81409"/>
    <w:rsid w:val="00E82617"/>
    <w:rsid w:val="00E832F7"/>
    <w:rsid w:val="00E83C74"/>
    <w:rsid w:val="00E83EF8"/>
    <w:rsid w:val="00E87411"/>
    <w:rsid w:val="00E922B3"/>
    <w:rsid w:val="00E923A0"/>
    <w:rsid w:val="00E93E1F"/>
    <w:rsid w:val="00E94840"/>
    <w:rsid w:val="00E95C48"/>
    <w:rsid w:val="00E963DD"/>
    <w:rsid w:val="00E96722"/>
    <w:rsid w:val="00EA1EB1"/>
    <w:rsid w:val="00EA2926"/>
    <w:rsid w:val="00EA3FDB"/>
    <w:rsid w:val="00EA4ABB"/>
    <w:rsid w:val="00EA68FD"/>
    <w:rsid w:val="00EA703C"/>
    <w:rsid w:val="00EA7072"/>
    <w:rsid w:val="00EB1B7F"/>
    <w:rsid w:val="00EB2190"/>
    <w:rsid w:val="00EB4C8A"/>
    <w:rsid w:val="00EB5328"/>
    <w:rsid w:val="00EC0DCB"/>
    <w:rsid w:val="00EC19CD"/>
    <w:rsid w:val="00EC1D42"/>
    <w:rsid w:val="00EC1DC0"/>
    <w:rsid w:val="00EC48BF"/>
    <w:rsid w:val="00EC4923"/>
    <w:rsid w:val="00EC4FD9"/>
    <w:rsid w:val="00EC5131"/>
    <w:rsid w:val="00ED024C"/>
    <w:rsid w:val="00ED0EE5"/>
    <w:rsid w:val="00ED12FD"/>
    <w:rsid w:val="00ED3EA6"/>
    <w:rsid w:val="00ED475D"/>
    <w:rsid w:val="00ED4EDA"/>
    <w:rsid w:val="00ED6299"/>
    <w:rsid w:val="00ED6979"/>
    <w:rsid w:val="00ED6BAF"/>
    <w:rsid w:val="00EE109B"/>
    <w:rsid w:val="00EE7E47"/>
    <w:rsid w:val="00EE7F5E"/>
    <w:rsid w:val="00EF0909"/>
    <w:rsid w:val="00EF0A07"/>
    <w:rsid w:val="00EF0E5C"/>
    <w:rsid w:val="00EF4A6D"/>
    <w:rsid w:val="00EF4B47"/>
    <w:rsid w:val="00F00EB1"/>
    <w:rsid w:val="00F01F45"/>
    <w:rsid w:val="00F0293D"/>
    <w:rsid w:val="00F03046"/>
    <w:rsid w:val="00F05063"/>
    <w:rsid w:val="00F05154"/>
    <w:rsid w:val="00F0520F"/>
    <w:rsid w:val="00F0562B"/>
    <w:rsid w:val="00F06A8E"/>
    <w:rsid w:val="00F12CFA"/>
    <w:rsid w:val="00F1406D"/>
    <w:rsid w:val="00F163A3"/>
    <w:rsid w:val="00F20E9D"/>
    <w:rsid w:val="00F20F86"/>
    <w:rsid w:val="00F20FD2"/>
    <w:rsid w:val="00F2387A"/>
    <w:rsid w:val="00F245B2"/>
    <w:rsid w:val="00F26252"/>
    <w:rsid w:val="00F268BF"/>
    <w:rsid w:val="00F26A51"/>
    <w:rsid w:val="00F27ED8"/>
    <w:rsid w:val="00F35989"/>
    <w:rsid w:val="00F403A4"/>
    <w:rsid w:val="00F40D1E"/>
    <w:rsid w:val="00F41EF5"/>
    <w:rsid w:val="00F4278D"/>
    <w:rsid w:val="00F441F4"/>
    <w:rsid w:val="00F45EAF"/>
    <w:rsid w:val="00F45EF8"/>
    <w:rsid w:val="00F514CF"/>
    <w:rsid w:val="00F51B2C"/>
    <w:rsid w:val="00F51FE5"/>
    <w:rsid w:val="00F522B7"/>
    <w:rsid w:val="00F53341"/>
    <w:rsid w:val="00F53824"/>
    <w:rsid w:val="00F575FE"/>
    <w:rsid w:val="00F579E5"/>
    <w:rsid w:val="00F628B5"/>
    <w:rsid w:val="00F6595C"/>
    <w:rsid w:val="00F671E4"/>
    <w:rsid w:val="00F71777"/>
    <w:rsid w:val="00F76675"/>
    <w:rsid w:val="00F77473"/>
    <w:rsid w:val="00F824FE"/>
    <w:rsid w:val="00F83013"/>
    <w:rsid w:val="00F832F7"/>
    <w:rsid w:val="00F83407"/>
    <w:rsid w:val="00F85106"/>
    <w:rsid w:val="00F86AA0"/>
    <w:rsid w:val="00F90F59"/>
    <w:rsid w:val="00F916FB"/>
    <w:rsid w:val="00F92901"/>
    <w:rsid w:val="00F94757"/>
    <w:rsid w:val="00F95BD9"/>
    <w:rsid w:val="00FA072D"/>
    <w:rsid w:val="00FA1179"/>
    <w:rsid w:val="00FA1487"/>
    <w:rsid w:val="00FA154B"/>
    <w:rsid w:val="00FA18F7"/>
    <w:rsid w:val="00FA20E3"/>
    <w:rsid w:val="00FA221F"/>
    <w:rsid w:val="00FA398C"/>
    <w:rsid w:val="00FA42CB"/>
    <w:rsid w:val="00FA42F2"/>
    <w:rsid w:val="00FA64BD"/>
    <w:rsid w:val="00FA6D20"/>
    <w:rsid w:val="00FA6D95"/>
    <w:rsid w:val="00FA7861"/>
    <w:rsid w:val="00FA7DEB"/>
    <w:rsid w:val="00FB0ACC"/>
    <w:rsid w:val="00FB258F"/>
    <w:rsid w:val="00FB5ADD"/>
    <w:rsid w:val="00FB7152"/>
    <w:rsid w:val="00FC0C26"/>
    <w:rsid w:val="00FD1A36"/>
    <w:rsid w:val="00FD1B68"/>
    <w:rsid w:val="00FD1BB5"/>
    <w:rsid w:val="00FD3721"/>
    <w:rsid w:val="00FD403F"/>
    <w:rsid w:val="00FD49C3"/>
    <w:rsid w:val="00FD63E4"/>
    <w:rsid w:val="00FD7B03"/>
    <w:rsid w:val="00FE0076"/>
    <w:rsid w:val="00FE10E4"/>
    <w:rsid w:val="00FE2773"/>
    <w:rsid w:val="00FE392D"/>
    <w:rsid w:val="00FE5D3C"/>
    <w:rsid w:val="00FE5E2B"/>
    <w:rsid w:val="00FF0B88"/>
    <w:rsid w:val="00FF0CCA"/>
    <w:rsid w:val="00FF3D61"/>
    <w:rsid w:val="00FF434E"/>
    <w:rsid w:val="00FF5E71"/>
    <w:rsid w:val="77062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name="index 1"/>
    <w:lsdException w:qFormat="1" w:unhideWhenUsed="0" w:uiPriority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65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76">
    <w:name w:val="Default Paragraph Font"/>
    <w:semiHidden/>
    <w:unhideWhenUsed/>
    <w:qFormat/>
    <w:uiPriority w:val="1"/>
  </w:style>
  <w:style w:type="table" w:default="1" w:styleId="7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qFormat/>
    <w:uiPriority w:val="0"/>
    <w:pPr>
      <w:ind w:left="100" w:leftChars="400" w:hanging="200" w:hangingChars="200"/>
    </w:pPr>
    <w:rPr>
      <w:szCs w:val="24"/>
    </w:rPr>
  </w:style>
  <w:style w:type="paragraph" w:styleId="12">
    <w:name w:val="toc 7"/>
    <w:basedOn w:val="13"/>
    <w:next w:val="1"/>
    <w:semiHidden/>
    <w:qFormat/>
    <w:uiPriority w:val="0"/>
    <w:pPr>
      <w:tabs>
        <w:tab w:val="right" w:leader="dot" w:pos="9345"/>
      </w:tabs>
    </w:pPr>
  </w:style>
  <w:style w:type="paragraph" w:styleId="13">
    <w:name w:val="toc 6"/>
    <w:basedOn w:val="14"/>
    <w:next w:val="1"/>
    <w:semiHidden/>
    <w:qFormat/>
    <w:uiPriority w:val="0"/>
    <w:pPr>
      <w:tabs>
        <w:tab w:val="right" w:leader="dot" w:pos="9345"/>
      </w:tabs>
    </w:pPr>
  </w:style>
  <w:style w:type="paragraph" w:styleId="14">
    <w:name w:val="toc 5"/>
    <w:basedOn w:val="15"/>
    <w:next w:val="1"/>
    <w:semiHidden/>
    <w:qFormat/>
    <w:uiPriority w:val="0"/>
    <w:pPr>
      <w:tabs>
        <w:tab w:val="right" w:leader="dot" w:pos="9345"/>
      </w:tabs>
    </w:pPr>
  </w:style>
  <w:style w:type="paragraph" w:styleId="15">
    <w:name w:val="toc 4"/>
    <w:basedOn w:val="16"/>
    <w:next w:val="1"/>
    <w:semiHidden/>
    <w:qFormat/>
    <w:uiPriority w:val="0"/>
    <w:pPr>
      <w:tabs>
        <w:tab w:val="right" w:leader="dot" w:pos="9345"/>
      </w:tabs>
    </w:pPr>
  </w:style>
  <w:style w:type="paragraph" w:styleId="16">
    <w:name w:val="toc 3"/>
    <w:basedOn w:val="17"/>
    <w:next w:val="1"/>
    <w:semiHidden/>
    <w:qFormat/>
    <w:uiPriority w:val="0"/>
    <w:pPr>
      <w:tabs>
        <w:tab w:val="right" w:leader="dot" w:pos="9345"/>
      </w:tabs>
    </w:pPr>
  </w:style>
  <w:style w:type="paragraph" w:styleId="17">
    <w:name w:val="toc 2"/>
    <w:basedOn w:val="18"/>
    <w:next w:val="1"/>
    <w:semiHidden/>
    <w:qFormat/>
    <w:uiPriority w:val="0"/>
    <w:pPr>
      <w:tabs>
        <w:tab w:val="right" w:leader="dot" w:pos="9345"/>
      </w:tabs>
    </w:pPr>
    <w:rPr>
      <w:color w:val="000000"/>
    </w:rPr>
  </w:style>
  <w:style w:type="paragraph" w:styleId="18">
    <w:name w:val="toc 1"/>
    <w:next w:val="1"/>
    <w:qFormat/>
    <w:uiPriority w:val="39"/>
    <w:pPr>
      <w:tabs>
        <w:tab w:val="right" w:leader="dot" w:pos="9345"/>
      </w:tabs>
      <w:spacing w:line="4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19">
    <w:name w:val="List Number 2"/>
    <w:basedOn w:val="1"/>
    <w:qFormat/>
    <w:uiPriority w:val="0"/>
    <w:pPr>
      <w:numPr>
        <w:ilvl w:val="0"/>
        <w:numId w:val="1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20">
    <w:name w:val="Note Heading"/>
    <w:basedOn w:val="1"/>
    <w:next w:val="1"/>
    <w:qFormat/>
    <w:uiPriority w:val="0"/>
    <w:pPr>
      <w:jc w:val="center"/>
    </w:pPr>
    <w:rPr>
      <w:szCs w:val="24"/>
    </w:rPr>
  </w:style>
  <w:style w:type="paragraph" w:styleId="21">
    <w:name w:val="List Bullet 4"/>
    <w:basedOn w:val="1"/>
    <w:qFormat/>
    <w:uiPriority w:val="0"/>
    <w:pPr>
      <w:numPr>
        <w:ilvl w:val="0"/>
        <w:numId w:val="2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22">
    <w:name w:val="E-mail Signature"/>
    <w:basedOn w:val="1"/>
    <w:qFormat/>
    <w:uiPriority w:val="0"/>
    <w:rPr>
      <w:szCs w:val="24"/>
    </w:rPr>
  </w:style>
  <w:style w:type="paragraph" w:styleId="23">
    <w:name w:val="List Number"/>
    <w:basedOn w:val="1"/>
    <w:qFormat/>
    <w:uiPriority w:val="0"/>
    <w:rPr>
      <w:szCs w:val="24"/>
    </w:rPr>
  </w:style>
  <w:style w:type="paragraph" w:styleId="24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25">
    <w:name w:val="List Bullet"/>
    <w:basedOn w:val="1"/>
    <w:qFormat/>
    <w:uiPriority w:val="0"/>
    <w:pPr>
      <w:numPr>
        <w:ilvl w:val="0"/>
        <w:numId w:val="3"/>
      </w:numPr>
    </w:pPr>
    <w:rPr>
      <w:szCs w:val="24"/>
    </w:rPr>
  </w:style>
  <w:style w:type="paragraph" w:styleId="26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27">
    <w:name w:val="Document Map"/>
    <w:basedOn w:val="1"/>
    <w:semiHidden/>
    <w:qFormat/>
    <w:uiPriority w:val="0"/>
    <w:pPr>
      <w:shd w:val="clear" w:color="auto" w:fill="000080"/>
    </w:pPr>
  </w:style>
  <w:style w:type="paragraph" w:styleId="28">
    <w:name w:val="annotation text"/>
    <w:basedOn w:val="1"/>
    <w:semiHidden/>
    <w:qFormat/>
    <w:uiPriority w:val="0"/>
    <w:pPr>
      <w:jc w:val="left"/>
    </w:pPr>
    <w:rPr>
      <w:szCs w:val="24"/>
    </w:rPr>
  </w:style>
  <w:style w:type="paragraph" w:styleId="29">
    <w:name w:val="Salutation"/>
    <w:basedOn w:val="1"/>
    <w:next w:val="1"/>
    <w:qFormat/>
    <w:uiPriority w:val="0"/>
    <w:rPr>
      <w:szCs w:val="24"/>
    </w:rPr>
  </w:style>
  <w:style w:type="paragraph" w:styleId="30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1">
    <w:name w:val="Closing"/>
    <w:basedOn w:val="1"/>
    <w:qFormat/>
    <w:uiPriority w:val="0"/>
    <w:pPr>
      <w:ind w:left="100" w:leftChars="2100"/>
    </w:pPr>
    <w:rPr>
      <w:szCs w:val="24"/>
    </w:rPr>
  </w:style>
  <w:style w:type="paragraph" w:styleId="32">
    <w:name w:val="List Bullet 3"/>
    <w:basedOn w:val="1"/>
    <w:qFormat/>
    <w:uiPriority w:val="0"/>
    <w:pPr>
      <w:numPr>
        <w:ilvl w:val="0"/>
        <w:numId w:val="4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3">
    <w:name w:val="Body Text"/>
    <w:basedOn w:val="1"/>
    <w:qFormat/>
    <w:uiPriority w:val="0"/>
    <w:pPr>
      <w:wordWrap w:val="0"/>
      <w:spacing w:line="480" w:lineRule="exact"/>
      <w:jc w:val="right"/>
    </w:pPr>
    <w:rPr>
      <w:color w:val="000000"/>
      <w:position w:val="-10"/>
      <w:sz w:val="18"/>
    </w:rPr>
  </w:style>
  <w:style w:type="paragraph" w:styleId="34">
    <w:name w:val="Body Text Indent"/>
    <w:basedOn w:val="1"/>
    <w:qFormat/>
    <w:uiPriority w:val="0"/>
    <w:pPr>
      <w:spacing w:after="120"/>
      <w:ind w:left="420" w:leftChars="200"/>
    </w:pPr>
  </w:style>
  <w:style w:type="paragraph" w:styleId="35">
    <w:name w:val="List Number 3"/>
    <w:basedOn w:val="1"/>
    <w:qFormat/>
    <w:uiPriority w:val="0"/>
    <w:pPr>
      <w:numPr>
        <w:ilvl w:val="0"/>
        <w:numId w:val="5"/>
      </w:numPr>
      <w:tabs>
        <w:tab w:val="left" w:pos="1200"/>
        <w:tab w:val="clear" w:pos="780"/>
      </w:tabs>
      <w:ind w:left="1200" w:leftChars="400"/>
    </w:pPr>
    <w:rPr>
      <w:szCs w:val="24"/>
    </w:rPr>
  </w:style>
  <w:style w:type="paragraph" w:styleId="36">
    <w:name w:val="List 2"/>
    <w:basedOn w:val="1"/>
    <w:qFormat/>
    <w:uiPriority w:val="0"/>
    <w:pPr>
      <w:ind w:left="100" w:leftChars="200" w:hanging="200" w:hangingChars="200"/>
    </w:pPr>
    <w:rPr>
      <w:szCs w:val="24"/>
    </w:rPr>
  </w:style>
  <w:style w:type="paragraph" w:styleId="37">
    <w:name w:val="List Continue"/>
    <w:basedOn w:val="1"/>
    <w:qFormat/>
    <w:uiPriority w:val="0"/>
    <w:pPr>
      <w:numPr>
        <w:ilvl w:val="0"/>
        <w:numId w:val="6"/>
      </w:numPr>
      <w:tabs>
        <w:tab w:val="clear" w:pos="2040"/>
      </w:tabs>
      <w:spacing w:after="120"/>
      <w:ind w:left="420" w:leftChars="200" w:firstLine="0" w:firstLineChars="0"/>
    </w:pPr>
    <w:rPr>
      <w:szCs w:val="24"/>
    </w:rPr>
  </w:style>
  <w:style w:type="paragraph" w:styleId="38">
    <w:name w:val="Block Text"/>
    <w:basedOn w:val="1"/>
    <w:qFormat/>
    <w:uiPriority w:val="0"/>
    <w:pPr>
      <w:spacing w:after="120"/>
      <w:ind w:left="1440" w:leftChars="700" w:right="1440" w:rightChars="700"/>
    </w:pPr>
    <w:rPr>
      <w:szCs w:val="24"/>
    </w:rPr>
  </w:style>
  <w:style w:type="paragraph" w:styleId="39">
    <w:name w:val="List Bullet 2"/>
    <w:basedOn w:val="1"/>
    <w:qFormat/>
    <w:uiPriority w:val="0"/>
    <w:pPr>
      <w:numPr>
        <w:ilvl w:val="0"/>
        <w:numId w:val="7"/>
      </w:numPr>
      <w:tabs>
        <w:tab w:val="left" w:pos="780"/>
        <w:tab w:val="clear" w:pos="360"/>
      </w:tabs>
      <w:ind w:left="780" w:leftChars="200"/>
    </w:pPr>
    <w:rPr>
      <w:szCs w:val="24"/>
    </w:rPr>
  </w:style>
  <w:style w:type="paragraph" w:styleId="40">
    <w:name w:val="HTML Address"/>
    <w:basedOn w:val="1"/>
    <w:qFormat/>
    <w:uiPriority w:val="0"/>
    <w:rPr>
      <w:i/>
      <w:iCs/>
    </w:rPr>
  </w:style>
  <w:style w:type="paragraph" w:styleId="41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2">
    <w:name w:val="List Bullet 5"/>
    <w:basedOn w:val="1"/>
    <w:qFormat/>
    <w:uiPriority w:val="0"/>
    <w:pPr>
      <w:numPr>
        <w:ilvl w:val="0"/>
        <w:numId w:val="8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43">
    <w:name w:val="List Number 4"/>
    <w:basedOn w:val="1"/>
    <w:qFormat/>
    <w:uiPriority w:val="0"/>
    <w:pPr>
      <w:numPr>
        <w:ilvl w:val="0"/>
        <w:numId w:val="9"/>
      </w:numPr>
      <w:tabs>
        <w:tab w:val="left" w:pos="1620"/>
        <w:tab w:val="clear" w:pos="1200"/>
      </w:tabs>
      <w:ind w:left="1620" w:leftChars="600"/>
    </w:pPr>
    <w:rPr>
      <w:szCs w:val="24"/>
    </w:rPr>
  </w:style>
  <w:style w:type="paragraph" w:styleId="44">
    <w:name w:val="toc 8"/>
    <w:basedOn w:val="12"/>
    <w:next w:val="1"/>
    <w:semiHidden/>
    <w:qFormat/>
    <w:uiPriority w:val="0"/>
  </w:style>
  <w:style w:type="paragraph" w:styleId="45">
    <w:name w:val="Date"/>
    <w:basedOn w:val="1"/>
    <w:next w:val="1"/>
    <w:qFormat/>
    <w:uiPriority w:val="0"/>
    <w:pPr>
      <w:ind w:left="100" w:leftChars="2500"/>
    </w:pPr>
    <w:rPr>
      <w:b/>
      <w:color w:val="0000FF"/>
      <w:szCs w:val="21"/>
    </w:rPr>
  </w:style>
  <w:style w:type="paragraph" w:styleId="46">
    <w:name w:val="Body Text Indent 2"/>
    <w:basedOn w:val="1"/>
    <w:link w:val="141"/>
    <w:qFormat/>
    <w:uiPriority w:val="0"/>
    <w:pPr>
      <w:spacing w:line="360" w:lineRule="auto"/>
      <w:ind w:firstLine="480"/>
    </w:pPr>
    <w:rPr>
      <w:color w:val="FF0000"/>
      <w:kern w:val="0"/>
      <w:sz w:val="24"/>
    </w:rPr>
  </w:style>
  <w:style w:type="paragraph" w:styleId="47">
    <w:name w:val="List Continue 5"/>
    <w:basedOn w:val="1"/>
    <w:qFormat/>
    <w:uiPriority w:val="0"/>
    <w:pPr>
      <w:spacing w:after="120"/>
      <w:ind w:left="2100" w:leftChars="1000"/>
    </w:pPr>
    <w:rPr>
      <w:szCs w:val="24"/>
    </w:rPr>
  </w:style>
  <w:style w:type="paragraph" w:styleId="48">
    <w:name w:val="Balloon Text"/>
    <w:basedOn w:val="1"/>
    <w:semiHidden/>
    <w:qFormat/>
    <w:uiPriority w:val="0"/>
    <w:rPr>
      <w:sz w:val="18"/>
      <w:szCs w:val="18"/>
    </w:rPr>
  </w:style>
  <w:style w:type="paragraph" w:styleId="4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0">
    <w:name w:val="envelope return"/>
    <w:basedOn w:val="1"/>
    <w:qFormat/>
    <w:uiPriority w:val="0"/>
    <w:pPr>
      <w:snapToGrid w:val="0"/>
    </w:pPr>
    <w:rPr>
      <w:rFonts w:ascii="Arial" w:hAnsi="Arial" w:cs="Arial"/>
      <w:szCs w:val="24"/>
    </w:rPr>
  </w:style>
  <w:style w:type="paragraph" w:styleId="5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2">
    <w:name w:val="Signature"/>
    <w:basedOn w:val="1"/>
    <w:qFormat/>
    <w:uiPriority w:val="0"/>
    <w:pPr>
      <w:ind w:left="100" w:leftChars="2100"/>
    </w:pPr>
    <w:rPr>
      <w:szCs w:val="24"/>
    </w:rPr>
  </w:style>
  <w:style w:type="paragraph" w:styleId="53">
    <w:name w:val="List Continue 4"/>
    <w:basedOn w:val="1"/>
    <w:qFormat/>
    <w:uiPriority w:val="0"/>
    <w:pPr>
      <w:spacing w:after="120"/>
      <w:ind w:left="1680" w:leftChars="800"/>
    </w:pPr>
    <w:rPr>
      <w:szCs w:val="24"/>
    </w:rPr>
  </w:style>
  <w:style w:type="paragraph" w:styleId="54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5">
    <w:name w:val="List Number 5"/>
    <w:basedOn w:val="1"/>
    <w:qFormat/>
    <w:uiPriority w:val="0"/>
    <w:pPr>
      <w:numPr>
        <w:ilvl w:val="0"/>
        <w:numId w:val="10"/>
      </w:numPr>
      <w:tabs>
        <w:tab w:val="left" w:pos="2040"/>
        <w:tab w:val="clear" w:pos="1620"/>
      </w:tabs>
      <w:ind w:left="2040" w:leftChars="800"/>
    </w:pPr>
    <w:rPr>
      <w:szCs w:val="24"/>
    </w:rPr>
  </w:style>
  <w:style w:type="paragraph" w:styleId="56">
    <w:name w:val="List"/>
    <w:basedOn w:val="1"/>
    <w:qFormat/>
    <w:uiPriority w:val="0"/>
    <w:pPr>
      <w:ind w:left="200" w:hanging="200" w:hangingChars="200"/>
    </w:pPr>
    <w:rPr>
      <w:szCs w:val="24"/>
    </w:rPr>
  </w:style>
  <w:style w:type="paragraph" w:styleId="57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58">
    <w:name w:val="List 5"/>
    <w:basedOn w:val="1"/>
    <w:qFormat/>
    <w:uiPriority w:val="0"/>
    <w:pPr>
      <w:ind w:left="100" w:leftChars="800" w:hanging="200" w:hangingChars="200"/>
    </w:pPr>
    <w:rPr>
      <w:szCs w:val="24"/>
    </w:rPr>
  </w:style>
  <w:style w:type="paragraph" w:styleId="59">
    <w:name w:val="Body Text Indent 3"/>
    <w:basedOn w:val="1"/>
    <w:qFormat/>
    <w:uiPriority w:val="0"/>
    <w:pPr>
      <w:spacing w:line="360" w:lineRule="auto"/>
    </w:pPr>
    <w:rPr>
      <w:rFonts w:ascii="宋体" w:hAnsi="宋体"/>
      <w:szCs w:val="24"/>
    </w:rPr>
  </w:style>
  <w:style w:type="paragraph" w:styleId="60">
    <w:name w:val="toc 9"/>
    <w:basedOn w:val="44"/>
    <w:next w:val="1"/>
    <w:semiHidden/>
    <w:qFormat/>
    <w:uiPriority w:val="0"/>
  </w:style>
  <w:style w:type="paragraph" w:styleId="61">
    <w:name w:val="Body Text 2"/>
    <w:basedOn w:val="1"/>
    <w:qFormat/>
    <w:uiPriority w:val="0"/>
    <w:pPr>
      <w:spacing w:after="120" w:line="480" w:lineRule="auto"/>
    </w:pPr>
    <w:rPr>
      <w:szCs w:val="24"/>
    </w:rPr>
  </w:style>
  <w:style w:type="paragraph" w:styleId="62">
    <w:name w:val="List 4"/>
    <w:basedOn w:val="1"/>
    <w:qFormat/>
    <w:uiPriority w:val="0"/>
    <w:pPr>
      <w:ind w:left="100" w:leftChars="600" w:hanging="200" w:hangingChars="200"/>
    </w:pPr>
    <w:rPr>
      <w:szCs w:val="24"/>
    </w:rPr>
  </w:style>
  <w:style w:type="paragraph" w:styleId="63">
    <w:name w:val="List Continue 2"/>
    <w:basedOn w:val="1"/>
    <w:qFormat/>
    <w:uiPriority w:val="0"/>
    <w:pPr>
      <w:spacing w:after="120"/>
      <w:ind w:left="840" w:leftChars="400"/>
    </w:pPr>
    <w:rPr>
      <w:szCs w:val="24"/>
    </w:rPr>
  </w:style>
  <w:style w:type="paragraph" w:styleId="6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65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paragraph" w:styleId="66">
    <w:name w:val="Normal (Web)"/>
    <w:basedOn w:val="1"/>
    <w:qFormat/>
    <w:uiPriority w:val="0"/>
    <w:pPr>
      <w:numPr>
        <w:ilvl w:val="0"/>
        <w:numId w:val="11"/>
      </w:numPr>
      <w:tabs>
        <w:tab w:val="clear" w:pos="2040"/>
      </w:tabs>
      <w:ind w:left="0" w:leftChars="0" w:firstLine="0" w:firstLineChars="0"/>
    </w:pPr>
    <w:rPr>
      <w:sz w:val="24"/>
      <w:szCs w:val="24"/>
    </w:rPr>
  </w:style>
  <w:style w:type="paragraph" w:styleId="67">
    <w:name w:val="List Continue 3"/>
    <w:basedOn w:val="1"/>
    <w:qFormat/>
    <w:uiPriority w:val="0"/>
    <w:pPr>
      <w:spacing w:after="120"/>
      <w:ind w:left="1260" w:leftChars="600"/>
    </w:pPr>
    <w:rPr>
      <w:szCs w:val="24"/>
    </w:rPr>
  </w:style>
  <w:style w:type="paragraph" w:styleId="68">
    <w:name w:val="index 1"/>
    <w:basedOn w:val="1"/>
    <w:next w:val="1"/>
    <w:semiHidden/>
    <w:uiPriority w:val="0"/>
    <w:rPr>
      <w:szCs w:val="24"/>
    </w:rPr>
  </w:style>
  <w:style w:type="paragraph" w:styleId="69">
    <w:name w:val="index 2"/>
    <w:basedOn w:val="1"/>
    <w:next w:val="1"/>
    <w:semiHidden/>
    <w:qFormat/>
    <w:uiPriority w:val="0"/>
    <w:pPr>
      <w:ind w:left="200" w:leftChars="200"/>
    </w:pPr>
    <w:rPr>
      <w:szCs w:val="24"/>
    </w:rPr>
  </w:style>
  <w:style w:type="paragraph" w:styleId="7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1">
    <w:name w:val="annotation subject"/>
    <w:basedOn w:val="28"/>
    <w:next w:val="28"/>
    <w:semiHidden/>
    <w:qFormat/>
    <w:uiPriority w:val="0"/>
    <w:rPr>
      <w:b/>
      <w:bCs/>
    </w:rPr>
  </w:style>
  <w:style w:type="paragraph" w:styleId="72">
    <w:name w:val="Body Text First Indent"/>
    <w:basedOn w:val="33"/>
    <w:qFormat/>
    <w:uiPriority w:val="0"/>
    <w:pPr>
      <w:wordWrap/>
      <w:spacing w:after="120" w:line="240" w:lineRule="auto"/>
      <w:ind w:firstLine="420" w:firstLineChars="100"/>
      <w:jc w:val="both"/>
    </w:pPr>
    <w:rPr>
      <w:color w:val="auto"/>
      <w:position w:val="0"/>
      <w:sz w:val="21"/>
      <w:szCs w:val="24"/>
    </w:rPr>
  </w:style>
  <w:style w:type="paragraph" w:styleId="73">
    <w:name w:val="Body Text First Indent 2"/>
    <w:basedOn w:val="34"/>
    <w:qFormat/>
    <w:uiPriority w:val="0"/>
    <w:pPr>
      <w:ind w:firstLine="420" w:firstLineChars="200"/>
    </w:pPr>
    <w:rPr>
      <w:szCs w:val="24"/>
    </w:rPr>
  </w:style>
  <w:style w:type="table" w:styleId="75">
    <w:name w:val="Table Grid"/>
    <w:basedOn w:val="7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7">
    <w:name w:val="Strong"/>
    <w:qFormat/>
    <w:uiPriority w:val="0"/>
    <w:rPr>
      <w:rFonts w:ascii="仿宋_GB2312" w:eastAsia="仿宋_GB2312"/>
      <w:b/>
      <w:bCs/>
      <w:sz w:val="28"/>
      <w:szCs w:val="28"/>
      <w:lang w:val="en-US" w:eastAsia="zh-CN" w:bidi="ar-SA"/>
    </w:rPr>
  </w:style>
  <w:style w:type="character" w:styleId="78">
    <w:name w:val="page number"/>
    <w:qFormat/>
    <w:uiPriority w:val="0"/>
    <w:rPr>
      <w:rFonts w:ascii="Times New Roman" w:hAnsi="Times New Roman" w:eastAsia="宋体"/>
      <w:sz w:val="18"/>
    </w:rPr>
  </w:style>
  <w:style w:type="character" w:styleId="79">
    <w:name w:val="HTML Definition"/>
    <w:qFormat/>
    <w:uiPriority w:val="0"/>
    <w:rPr>
      <w:i/>
      <w:iCs/>
    </w:rPr>
  </w:style>
  <w:style w:type="character" w:styleId="80">
    <w:name w:val="HTML Typewriter"/>
    <w:qFormat/>
    <w:uiPriority w:val="0"/>
    <w:rPr>
      <w:rFonts w:ascii="Courier New" w:hAnsi="Courier New"/>
      <w:sz w:val="20"/>
      <w:szCs w:val="20"/>
    </w:rPr>
  </w:style>
  <w:style w:type="character" w:styleId="81">
    <w:name w:val="HTML Acronym"/>
    <w:basedOn w:val="76"/>
    <w:qFormat/>
    <w:uiPriority w:val="0"/>
  </w:style>
  <w:style w:type="character" w:styleId="82">
    <w:name w:val="HTML Variable"/>
    <w:qFormat/>
    <w:uiPriority w:val="0"/>
    <w:rPr>
      <w:i/>
      <w:iCs/>
    </w:rPr>
  </w:style>
  <w:style w:type="character" w:styleId="83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styleId="84">
    <w:name w:val="HTML Code"/>
    <w:qFormat/>
    <w:uiPriority w:val="0"/>
    <w:rPr>
      <w:rFonts w:ascii="Courier New" w:hAnsi="Courier New"/>
      <w:sz w:val="20"/>
      <w:szCs w:val="20"/>
    </w:rPr>
  </w:style>
  <w:style w:type="character" w:styleId="85">
    <w:name w:val="HTML Cite"/>
    <w:qFormat/>
    <w:uiPriority w:val="0"/>
    <w:rPr>
      <w:i/>
      <w:iCs/>
    </w:rPr>
  </w:style>
  <w:style w:type="character" w:styleId="86">
    <w:name w:val="footnote reference"/>
    <w:semiHidden/>
    <w:qFormat/>
    <w:uiPriority w:val="0"/>
    <w:rPr>
      <w:vertAlign w:val="superscript"/>
    </w:rPr>
  </w:style>
  <w:style w:type="character" w:styleId="87">
    <w:name w:val="HTML Keyboard"/>
    <w:qFormat/>
    <w:uiPriority w:val="0"/>
    <w:rPr>
      <w:rFonts w:ascii="Courier New" w:hAnsi="Courier New"/>
      <w:sz w:val="20"/>
      <w:szCs w:val="20"/>
    </w:rPr>
  </w:style>
  <w:style w:type="character" w:styleId="88">
    <w:name w:val="HTML Sample"/>
    <w:qFormat/>
    <w:uiPriority w:val="0"/>
    <w:rPr>
      <w:rFonts w:ascii="Courier New" w:hAnsi="Courier New"/>
    </w:rPr>
  </w:style>
  <w:style w:type="character" w:customStyle="1" w:styleId="89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90">
    <w:name w:val="Char Char Char1 Char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91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92">
    <w:name w:val="标准称谓"/>
    <w:next w:val="1"/>
    <w:qFormat/>
    <w:uiPriority w:val="0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9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95">
    <w:name w:val="标准书眉_奇数页"/>
    <w:next w:val="1"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96">
    <w:name w:val="标准书眉_偶数页"/>
    <w:basedOn w:val="95"/>
    <w:next w:val="1"/>
    <w:uiPriority w:val="0"/>
    <w:pPr>
      <w:jc w:val="left"/>
    </w:pPr>
  </w:style>
  <w:style w:type="paragraph" w:customStyle="1" w:styleId="97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98">
    <w:name w:val="前言、引言标题"/>
    <w:next w:val="1"/>
    <w:qFormat/>
    <w:uiPriority w:val="0"/>
    <w:pPr>
      <w:numPr>
        <w:ilvl w:val="0"/>
        <w:numId w:val="12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99">
    <w:name w:val="参考文献、索引标题"/>
    <w:basedOn w:val="98"/>
    <w:next w:val="1"/>
    <w:qFormat/>
    <w:uiPriority w:val="0"/>
    <w:pPr>
      <w:numPr>
        <w:numId w:val="0"/>
      </w:numPr>
      <w:spacing w:after="200"/>
    </w:pPr>
    <w:rPr>
      <w:sz w:val="21"/>
    </w:rPr>
  </w:style>
  <w:style w:type="paragraph" w:customStyle="1" w:styleId="100">
    <w:name w:val="段"/>
    <w:link w:val="168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1">
    <w:name w:val="章标题"/>
    <w:next w:val="100"/>
    <w:qFormat/>
    <w:uiPriority w:val="0"/>
    <w:pPr>
      <w:numPr>
        <w:ilvl w:val="1"/>
        <w:numId w:val="12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02">
    <w:name w:val="一级条标题"/>
    <w:next w:val="100"/>
    <w:uiPriority w:val="0"/>
    <w:pPr>
      <w:numPr>
        <w:ilvl w:val="2"/>
        <w:numId w:val="12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103">
    <w:name w:val="二级条标题"/>
    <w:basedOn w:val="102"/>
    <w:next w:val="100"/>
    <w:uiPriority w:val="0"/>
    <w:pPr>
      <w:numPr>
        <w:ilvl w:val="3"/>
        <w:numId w:val="12"/>
      </w:numPr>
      <w:outlineLvl w:val="3"/>
    </w:pPr>
  </w:style>
  <w:style w:type="character" w:customStyle="1" w:styleId="104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105">
    <w:name w:val="发布部门"/>
    <w:next w:val="100"/>
    <w:qFormat/>
    <w:uiPriority w:val="0"/>
    <w:pPr>
      <w:framePr w:w="7433" w:h="585" w:hRule="exact" w:hSpace="180" w:vSpace="180" w:wrap="around" w:vAnchor="margin" w:hAnchor="margin" w:xAlign="center" w:y="14401" w:anchorLock="1"/>
      <w:jc w:val="center"/>
    </w:pPr>
    <w:rPr>
      <w:rFonts w:ascii="宋体" w:hAnsi="Times New Roman" w:eastAsia="宋体" w:cs="Times New Roman"/>
      <w:b/>
      <w:spacing w:val="20"/>
      <w:w w:val="135"/>
      <w:sz w:val="36"/>
      <w:lang w:val="en-US" w:eastAsia="zh-CN" w:bidi="ar-SA"/>
    </w:rPr>
  </w:style>
  <w:style w:type="paragraph" w:customStyle="1" w:styleId="106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07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08">
    <w:name w:val="封面标准号2"/>
    <w:basedOn w:val="107"/>
    <w:qFormat/>
    <w:uiPriority w:val="0"/>
    <w:pPr>
      <w:framePr w:w="9138" w:h="1244" w:hRule="exact" w:wrap="auto" w:vAnchor="page" w:hAnchor="margin" w:y="2908"/>
      <w:adjustRightInd w:val="0"/>
      <w:spacing w:before="357" w:line="280" w:lineRule="exact"/>
    </w:pPr>
  </w:style>
  <w:style w:type="paragraph" w:customStyle="1" w:styleId="109">
    <w:name w:val="封面标准代替信息"/>
    <w:basedOn w:val="108"/>
    <w:qFormat/>
    <w:uiPriority w:val="0"/>
    <w:pPr>
      <w:framePr/>
      <w:spacing w:before="57"/>
    </w:pPr>
    <w:rPr>
      <w:rFonts w:ascii="宋体"/>
      <w:sz w:val="21"/>
    </w:rPr>
  </w:style>
  <w:style w:type="paragraph" w:customStyle="1" w:styleId="110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11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12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113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14">
    <w:name w:val="封面一致性程度标识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8"/>
      <w:lang w:val="en-US" w:eastAsia="zh-CN" w:bidi="ar-SA"/>
    </w:rPr>
  </w:style>
  <w:style w:type="paragraph" w:customStyle="1" w:styleId="115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16">
    <w:name w:val="附录标识"/>
    <w:basedOn w:val="98"/>
    <w:qFormat/>
    <w:uiPriority w:val="0"/>
    <w:pPr>
      <w:numPr>
        <w:ilvl w:val="0"/>
        <w:numId w:val="13"/>
      </w:numPr>
      <w:tabs>
        <w:tab w:val="left" w:pos="6405"/>
      </w:tabs>
      <w:spacing w:after="200"/>
    </w:pPr>
    <w:rPr>
      <w:sz w:val="21"/>
    </w:rPr>
  </w:style>
  <w:style w:type="paragraph" w:customStyle="1" w:styleId="117">
    <w:name w:val="附录表标题"/>
    <w:next w:val="100"/>
    <w:qFormat/>
    <w:uiPriority w:val="0"/>
    <w:pPr>
      <w:numPr>
        <w:ilvl w:val="0"/>
        <w:numId w:val="14"/>
      </w:num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8">
    <w:name w:val="附录章标题"/>
    <w:next w:val="100"/>
    <w:qFormat/>
    <w:uiPriority w:val="0"/>
    <w:pPr>
      <w:numPr>
        <w:ilvl w:val="1"/>
        <w:numId w:val="13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19">
    <w:name w:val="附录一级条标题"/>
    <w:basedOn w:val="118"/>
    <w:next w:val="100"/>
    <w:qFormat/>
    <w:uiPriority w:val="0"/>
    <w:pPr>
      <w:numPr>
        <w:ilvl w:val="0"/>
        <w:numId w:val="0"/>
      </w:numPr>
      <w:autoSpaceDN w:val="0"/>
      <w:spacing w:before="0" w:beforeLines="0" w:after="0" w:afterLines="0"/>
      <w:outlineLvl w:val="2"/>
    </w:pPr>
  </w:style>
  <w:style w:type="paragraph" w:customStyle="1" w:styleId="120">
    <w:name w:val="附录二级条标题"/>
    <w:basedOn w:val="119"/>
    <w:next w:val="100"/>
    <w:qFormat/>
    <w:uiPriority w:val="0"/>
    <w:pPr>
      <w:outlineLvl w:val="3"/>
    </w:pPr>
  </w:style>
  <w:style w:type="paragraph" w:customStyle="1" w:styleId="121">
    <w:name w:val="附录三级条标题"/>
    <w:basedOn w:val="120"/>
    <w:next w:val="100"/>
    <w:qFormat/>
    <w:uiPriority w:val="0"/>
    <w:pPr>
      <w:outlineLvl w:val="4"/>
    </w:pPr>
  </w:style>
  <w:style w:type="paragraph" w:customStyle="1" w:styleId="122">
    <w:name w:val="附录四级条标题"/>
    <w:basedOn w:val="121"/>
    <w:next w:val="100"/>
    <w:qFormat/>
    <w:uiPriority w:val="0"/>
    <w:pPr>
      <w:outlineLvl w:val="5"/>
    </w:pPr>
  </w:style>
  <w:style w:type="paragraph" w:customStyle="1" w:styleId="123">
    <w:name w:val="附录图标题"/>
    <w:next w:val="100"/>
    <w:qFormat/>
    <w:uiPriority w:val="0"/>
    <w:pPr>
      <w:numPr>
        <w:ilvl w:val="0"/>
        <w:numId w:val="15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24">
    <w:name w:val="附录五级条标题"/>
    <w:basedOn w:val="122"/>
    <w:next w:val="100"/>
    <w:qFormat/>
    <w:uiPriority w:val="0"/>
    <w:pPr>
      <w:numPr>
        <w:ilvl w:val="6"/>
        <w:numId w:val="13"/>
      </w:numPr>
      <w:outlineLvl w:val="6"/>
    </w:pPr>
  </w:style>
  <w:style w:type="character" w:customStyle="1" w:styleId="125">
    <w:name w:val="个人答复风格"/>
    <w:qFormat/>
    <w:uiPriority w:val="0"/>
    <w:rPr>
      <w:rFonts w:ascii="Arial" w:hAnsi="Arial" w:eastAsia="宋体" w:cs="Arial"/>
      <w:color w:val="auto"/>
      <w:sz w:val="20"/>
    </w:rPr>
  </w:style>
  <w:style w:type="character" w:customStyle="1" w:styleId="126">
    <w:name w:val="个人撰写风格"/>
    <w:qFormat/>
    <w:uiPriority w:val="0"/>
    <w:rPr>
      <w:rFonts w:ascii="Arial" w:hAnsi="Arial" w:eastAsia="宋体" w:cs="Arial"/>
      <w:color w:val="auto"/>
      <w:sz w:val="20"/>
    </w:rPr>
  </w:style>
  <w:style w:type="paragraph" w:customStyle="1" w:styleId="127">
    <w:name w:val="列项——（一级）"/>
    <w:qFormat/>
    <w:uiPriority w:val="0"/>
    <w:pPr>
      <w:widowControl w:val="0"/>
      <w:numPr>
        <w:ilvl w:val="0"/>
        <w:numId w:val="16"/>
      </w:numPr>
      <w:tabs>
        <w:tab w:val="left" w:pos="854"/>
        <w:tab w:val="clear" w:pos="1140"/>
      </w:tabs>
      <w:ind w:left="200" w:leftChars="2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8">
    <w:name w:val="列项●（二级）"/>
    <w:qFormat/>
    <w:uiPriority w:val="0"/>
    <w:pPr>
      <w:numPr>
        <w:ilvl w:val="0"/>
        <w:numId w:val="17"/>
      </w:numPr>
      <w:tabs>
        <w:tab w:val="left" w:pos="840"/>
      </w:tabs>
      <w:ind w:left="600" w:leftChars="400" w:hanging="20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9">
    <w:name w:val="目次、标准名称标题"/>
    <w:basedOn w:val="98"/>
    <w:next w:val="100"/>
    <w:qFormat/>
    <w:uiPriority w:val="0"/>
    <w:pPr>
      <w:numPr>
        <w:numId w:val="0"/>
      </w:numPr>
      <w:spacing w:line="460" w:lineRule="exact"/>
    </w:pPr>
  </w:style>
  <w:style w:type="paragraph" w:customStyle="1" w:styleId="130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132">
    <w:name w:val="其他发布部门"/>
    <w:basedOn w:val="105"/>
    <w:qFormat/>
    <w:uiPriority w:val="0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133">
    <w:name w:val="三级条标题"/>
    <w:basedOn w:val="103"/>
    <w:next w:val="100"/>
    <w:qFormat/>
    <w:uiPriority w:val="0"/>
    <w:pPr>
      <w:numPr>
        <w:ilvl w:val="4"/>
        <w:numId w:val="12"/>
      </w:numPr>
      <w:outlineLvl w:val="4"/>
    </w:pPr>
  </w:style>
  <w:style w:type="paragraph" w:customStyle="1" w:styleId="134">
    <w:name w:val="实施日期"/>
    <w:basedOn w:val="106"/>
    <w:qFormat/>
    <w:uiPriority w:val="0"/>
    <w:pPr>
      <w:framePr w:hSpace="0" w:wrap="around" w:xAlign="right"/>
      <w:jc w:val="right"/>
    </w:pPr>
  </w:style>
  <w:style w:type="paragraph" w:customStyle="1" w:styleId="135">
    <w:name w:val="示例"/>
    <w:next w:val="100"/>
    <w:uiPriority w:val="0"/>
    <w:pPr>
      <w:numPr>
        <w:ilvl w:val="0"/>
        <w:numId w:val="18"/>
      </w:numPr>
      <w:tabs>
        <w:tab w:val="left" w:pos="816"/>
        <w:tab w:val="clear" w:pos="1120"/>
      </w:tabs>
      <w:ind w:firstLine="419" w:firstLineChars="233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36">
    <w:name w:val="数字编号列项（二级）"/>
    <w:qFormat/>
    <w:uiPriority w:val="0"/>
    <w:pPr>
      <w:ind w:left="1260" w:leftChars="4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7">
    <w:name w:val="四级条标题"/>
    <w:basedOn w:val="133"/>
    <w:next w:val="100"/>
    <w:qFormat/>
    <w:uiPriority w:val="0"/>
    <w:pPr>
      <w:numPr>
        <w:ilvl w:val="5"/>
        <w:numId w:val="12"/>
      </w:numPr>
      <w:outlineLvl w:val="5"/>
    </w:pPr>
  </w:style>
  <w:style w:type="paragraph" w:customStyle="1" w:styleId="138">
    <w:name w:val="条文脚注"/>
    <w:basedOn w:val="57"/>
    <w:qFormat/>
    <w:uiPriority w:val="0"/>
    <w:pPr>
      <w:ind w:left="780" w:leftChars="200" w:hanging="360" w:hangingChars="200"/>
      <w:jc w:val="both"/>
    </w:pPr>
    <w:rPr>
      <w:rFonts w:ascii="宋体"/>
    </w:rPr>
  </w:style>
  <w:style w:type="paragraph" w:customStyle="1" w:styleId="139">
    <w:name w:val="图表脚注"/>
    <w:next w:val="100"/>
    <w:qFormat/>
    <w:uiPriority w:val="0"/>
    <w:pPr>
      <w:ind w:left="300" w:leftChars="200" w:hanging="100" w:hangingChars="1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0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character" w:customStyle="1" w:styleId="141">
    <w:name w:val="正文文本缩进 2 Char"/>
    <w:link w:val="46"/>
    <w:qFormat/>
    <w:uiPriority w:val="0"/>
    <w:rPr>
      <w:rFonts w:eastAsia="宋体"/>
      <w:color w:val="FF0000"/>
      <w:sz w:val="24"/>
      <w:lang w:val="en-US" w:eastAsia="zh-CN" w:bidi="ar-SA"/>
    </w:rPr>
  </w:style>
  <w:style w:type="paragraph" w:customStyle="1" w:styleId="142">
    <w:name w:val="五级条标题"/>
    <w:basedOn w:val="137"/>
    <w:next w:val="100"/>
    <w:qFormat/>
    <w:uiPriority w:val="0"/>
    <w:pPr>
      <w:numPr>
        <w:ilvl w:val="6"/>
        <w:numId w:val="12"/>
      </w:numPr>
      <w:outlineLvl w:val="6"/>
    </w:pPr>
  </w:style>
  <w:style w:type="paragraph" w:customStyle="1" w:styleId="143">
    <w:name w:val="正文表标题"/>
    <w:next w:val="100"/>
    <w:qFormat/>
    <w:uiPriority w:val="0"/>
    <w:pPr>
      <w:numPr>
        <w:ilvl w:val="0"/>
        <w:numId w:val="19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4">
    <w:name w:val="正文图标题"/>
    <w:next w:val="100"/>
    <w:qFormat/>
    <w:uiPriority w:val="0"/>
    <w:pPr>
      <w:numPr>
        <w:ilvl w:val="0"/>
        <w:numId w:val="20"/>
      </w:numPr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45">
    <w:name w:val="注："/>
    <w:next w:val="100"/>
    <w:qFormat/>
    <w:uiPriority w:val="0"/>
    <w:pPr>
      <w:widowControl w:val="0"/>
      <w:numPr>
        <w:ilvl w:val="0"/>
        <w:numId w:val="21"/>
      </w:numPr>
      <w:tabs>
        <w:tab w:val="clear" w:pos="114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6">
    <w:name w:val="注×："/>
    <w:qFormat/>
    <w:uiPriority w:val="0"/>
    <w:pPr>
      <w:widowControl w:val="0"/>
      <w:numPr>
        <w:ilvl w:val="0"/>
        <w:numId w:val="22"/>
      </w:numPr>
      <w:tabs>
        <w:tab w:val="left" w:pos="630"/>
        <w:tab w:val="clear" w:pos="900"/>
      </w:tabs>
      <w:autoSpaceDE w:val="0"/>
      <w:autoSpaceDN w:val="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paragraph" w:customStyle="1" w:styleId="147">
    <w:name w:val="字母编号列项（一级）"/>
    <w:qFormat/>
    <w:uiPriority w:val="0"/>
    <w:pPr>
      <w:ind w:left="840" w:leftChars="200" w:hanging="420" w:hanging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8">
    <w:name w:val="列项◆（三级）"/>
    <w:qFormat/>
    <w:uiPriority w:val="0"/>
    <w:pPr>
      <w:numPr>
        <w:ilvl w:val="0"/>
        <w:numId w:val="23"/>
      </w:num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9">
    <w:name w:val="编号列项（三级）"/>
    <w:qFormat/>
    <w:uiPriority w:val="0"/>
    <w:pPr>
      <w:ind w:left="800" w:leftChars="6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50">
    <w:name w:val="Char Char Char Char Char Char Char Char Char Char Char Char Char Char Char Char Char Char Char"/>
    <w:basedOn w:val="1"/>
    <w:qFormat/>
    <w:uiPriority w:val="0"/>
    <w:pPr>
      <w:tabs>
        <w:tab w:val="left" w:pos="6083"/>
      </w:tabs>
      <w:snapToGrid w:val="0"/>
      <w:spacing w:line="360" w:lineRule="auto"/>
      <w:ind w:firstLine="200" w:firstLineChars="200"/>
    </w:pPr>
    <w:rPr>
      <w:rFonts w:ascii="仿宋_GB2312" w:eastAsia="仿宋_GB2312"/>
      <w:kern w:val="0"/>
      <w:sz w:val="28"/>
      <w:szCs w:val="28"/>
    </w:rPr>
  </w:style>
  <w:style w:type="paragraph" w:customStyle="1" w:styleId="15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52">
    <w:name w:val="已访问的超链接1"/>
    <w:qFormat/>
    <w:uiPriority w:val="0"/>
    <w:rPr>
      <w:rFonts w:ascii="仿宋_GB2312" w:eastAsia="仿宋_GB2312"/>
      <w:color w:val="800080"/>
      <w:sz w:val="28"/>
      <w:szCs w:val="28"/>
      <w:u w:val="single"/>
      <w:lang w:val="en-US" w:eastAsia="zh-CN" w:bidi="ar-SA"/>
    </w:rPr>
  </w:style>
  <w:style w:type="paragraph" w:customStyle="1" w:styleId="153">
    <w:name w:val="xl2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 Unicode MS" w:hAnsi="Arial Unicode MS" w:eastAsia="Arial Unicode MS" w:cs="Arial Unicode MS"/>
      <w:kern w:val="0"/>
      <w:szCs w:val="21"/>
    </w:rPr>
  </w:style>
  <w:style w:type="character" w:customStyle="1" w:styleId="154">
    <w:name w:val="图名 Char Char Char Char Char Char Char Char Char Char"/>
    <w:qFormat/>
    <w:uiPriority w:val="0"/>
    <w:rPr>
      <w:rFonts w:ascii="黑体" w:hAnsi="Arial" w:eastAsia="黑体" w:cs="Arial"/>
    </w:rPr>
  </w:style>
  <w:style w:type="character" w:customStyle="1" w:styleId="155">
    <w:name w:val="样式 宋体 小四 Char"/>
    <w:qFormat/>
    <w:uiPriority w:val="0"/>
    <w:rPr>
      <w:rFonts w:ascii="宋体" w:hAnsi="宋体" w:eastAsia="宋体"/>
      <w:kern w:val="2"/>
      <w:sz w:val="24"/>
      <w:szCs w:val="24"/>
      <w:lang w:val="en-US" w:eastAsia="zh-CN" w:bidi="ar-SA"/>
    </w:rPr>
  </w:style>
  <w:style w:type="paragraph" w:customStyle="1" w:styleId="156">
    <w:name w:val="1"/>
    <w:basedOn w:val="1"/>
    <w:next w:val="46"/>
    <w:qFormat/>
    <w:uiPriority w:val="0"/>
    <w:pPr>
      <w:spacing w:before="60" w:line="400" w:lineRule="exact"/>
      <w:ind w:firstLine="420" w:firstLineChars="200"/>
    </w:pPr>
    <w:rPr>
      <w:rFonts w:ascii="宋体" w:hAnsi="宋体"/>
      <w:kern w:val="0"/>
      <w:szCs w:val="24"/>
    </w:rPr>
  </w:style>
  <w:style w:type="character" w:customStyle="1" w:styleId="157">
    <w:name w:val="biaozhun"/>
    <w:qFormat/>
    <w:uiPriority w:val="0"/>
    <w:rPr>
      <w:rFonts w:ascii="仿宋_GB2312" w:eastAsia="仿宋_GB2312"/>
      <w:sz w:val="28"/>
      <w:szCs w:val="28"/>
      <w:lang w:val="en-US" w:eastAsia="zh-CN" w:bidi="ar-SA"/>
    </w:rPr>
  </w:style>
  <w:style w:type="character" w:customStyle="1" w:styleId="158">
    <w:name w:val="gb"/>
    <w:qFormat/>
    <w:uiPriority w:val="0"/>
    <w:rPr>
      <w:rFonts w:ascii="仿宋_GB2312" w:eastAsia="仿宋_GB2312"/>
      <w:sz w:val="28"/>
      <w:szCs w:val="28"/>
      <w:lang w:val="en-US" w:eastAsia="zh-CN" w:bidi="ar-SA"/>
    </w:rPr>
  </w:style>
  <w:style w:type="paragraph" w:customStyle="1" w:styleId="159">
    <w:name w:val="小注"/>
    <w:basedOn w:val="46"/>
    <w:qFormat/>
    <w:uiPriority w:val="0"/>
    <w:pPr>
      <w:spacing w:before="60" w:line="240" w:lineRule="auto"/>
      <w:ind w:firstLine="360"/>
    </w:pPr>
    <w:rPr>
      <w:rFonts w:ascii="Arial" w:hAnsi="Arial" w:cs="Arial"/>
      <w:color w:val="auto"/>
      <w:sz w:val="18"/>
      <w:szCs w:val="18"/>
    </w:rPr>
  </w:style>
  <w:style w:type="paragraph" w:customStyle="1" w:styleId="160">
    <w:name w:val="第3级标题"/>
    <w:basedOn w:val="1"/>
    <w:next w:val="1"/>
    <w:qFormat/>
    <w:uiPriority w:val="0"/>
    <w:pPr>
      <w:spacing w:before="156" w:line="360" w:lineRule="auto"/>
    </w:pPr>
    <w:rPr>
      <w:rFonts w:ascii="黑体" w:eastAsia="黑体"/>
      <w:szCs w:val="24"/>
    </w:rPr>
  </w:style>
  <w:style w:type="paragraph" w:customStyle="1" w:styleId="16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paragraph" w:customStyle="1" w:styleId="162">
    <w:name w:val="表内文字"/>
    <w:basedOn w:val="1"/>
    <w:qFormat/>
    <w:uiPriority w:val="0"/>
    <w:pPr>
      <w:autoSpaceDE w:val="0"/>
      <w:autoSpaceDN w:val="0"/>
      <w:adjustRightInd w:val="0"/>
      <w:snapToGrid w:val="0"/>
      <w:jc w:val="center"/>
    </w:pPr>
    <w:rPr>
      <w:sz w:val="18"/>
      <w:szCs w:val="18"/>
    </w:rPr>
  </w:style>
  <w:style w:type="paragraph" w:customStyle="1" w:styleId="163">
    <w:name w:val="表注"/>
    <w:next w:val="33"/>
    <w:qFormat/>
    <w:uiPriority w:val="0"/>
    <w:pPr>
      <w:ind w:firstLine="362"/>
    </w:pPr>
    <w:rPr>
      <w:rFonts w:ascii="Arial" w:hAnsi="Arial" w:eastAsia="宋体" w:cs="Arial"/>
      <w:color w:val="000000"/>
      <w:sz w:val="18"/>
      <w:szCs w:val="18"/>
      <w:lang w:val="en-US" w:eastAsia="zh-CN" w:bidi="ar-SA"/>
    </w:rPr>
  </w:style>
  <w:style w:type="paragraph" w:customStyle="1" w:styleId="164">
    <w:name w:val="Char Char Char1 Char1"/>
    <w:basedOn w:val="1"/>
    <w:qFormat/>
    <w:uiPriority w:val="0"/>
    <w:pPr>
      <w:spacing w:line="360" w:lineRule="auto"/>
    </w:pPr>
    <w:rPr>
      <w:rFonts w:ascii="Tahoma" w:hAnsi="Tahoma"/>
      <w:sz w:val="24"/>
    </w:rPr>
  </w:style>
  <w:style w:type="character" w:customStyle="1" w:styleId="165">
    <w:name w:val="标题 6 Char"/>
    <w:link w:val="7"/>
    <w:qFormat/>
    <w:uiPriority w:val="0"/>
    <w:rPr>
      <w:rFonts w:ascii="Arial" w:hAnsi="Arial" w:eastAsia="黑体"/>
      <w:b/>
      <w:bCs/>
      <w:kern w:val="2"/>
      <w:sz w:val="24"/>
      <w:lang w:val="en-US" w:eastAsia="zh-CN" w:bidi="ar-SA"/>
    </w:rPr>
  </w:style>
  <w:style w:type="paragraph" w:customStyle="1" w:styleId="166">
    <w:name w:val="公式说明"/>
    <w:basedOn w:val="100"/>
    <w:qFormat/>
    <w:uiPriority w:val="0"/>
    <w:pPr>
      <w:tabs>
        <w:tab w:val="center" w:pos="4201"/>
        <w:tab w:val="right" w:leader="dot" w:pos="9298"/>
      </w:tabs>
      <w:ind w:firstLine="420"/>
    </w:pPr>
  </w:style>
  <w:style w:type="paragraph" w:customStyle="1" w:styleId="167">
    <w:name w:val="公式编号"/>
    <w:basedOn w:val="1"/>
    <w:qFormat/>
    <w:uiPriority w:val="0"/>
    <w:pPr>
      <w:jc w:val="right"/>
    </w:pPr>
    <w:rPr>
      <w:rFonts w:cs="宋体"/>
      <w:kern w:val="0"/>
      <w:szCs w:val="21"/>
    </w:rPr>
  </w:style>
  <w:style w:type="character" w:customStyle="1" w:styleId="168">
    <w:name w:val="段 Char"/>
    <w:link w:val="100"/>
    <w:qFormat/>
    <w:uiPriority w:val="0"/>
    <w:rPr>
      <w:rFonts w:ascii="宋体"/>
      <w:sz w:val="21"/>
      <w:lang w:val="en-US" w:eastAsia="zh-CN" w:bidi="ar-SA"/>
    </w:rPr>
  </w:style>
  <w:style w:type="paragraph" w:customStyle="1" w:styleId="169">
    <w:name w:val="表中文字"/>
    <w:basedOn w:val="1"/>
    <w:qFormat/>
    <w:uiPriority w:val="0"/>
    <w:pPr>
      <w:tabs>
        <w:tab w:val="left" w:pos="6195"/>
      </w:tabs>
      <w:autoSpaceDE w:val="0"/>
      <w:autoSpaceDN w:val="0"/>
      <w:adjustRightInd w:val="0"/>
      <w:jc w:val="center"/>
    </w:pPr>
    <w:rPr>
      <w:position w:val="-10"/>
      <w:sz w:val="18"/>
      <w:szCs w:val="18"/>
    </w:rPr>
  </w:style>
  <w:style w:type="paragraph" w:customStyle="1" w:styleId="170">
    <w:name w:val="7表名"/>
    <w:basedOn w:val="1"/>
    <w:next w:val="1"/>
    <w:qFormat/>
    <w:uiPriority w:val="0"/>
    <w:pPr>
      <w:spacing w:line="360" w:lineRule="auto"/>
      <w:jc w:val="center"/>
      <w:outlineLvl w:val="4"/>
    </w:pPr>
    <w:rPr>
      <w:rFonts w:ascii="黑体" w:eastAsia="黑体"/>
      <w:szCs w:val="21"/>
    </w:rPr>
  </w:style>
  <w:style w:type="character" w:styleId="171">
    <w:name w:val="Placeholder Text"/>
    <w:basedOn w:val="76"/>
    <w:semiHidden/>
    <w:qFormat/>
    <w:uiPriority w:val="99"/>
    <w:rPr>
      <w:color w:val="808080"/>
    </w:rPr>
  </w:style>
  <w:style w:type="character" w:customStyle="1" w:styleId="172">
    <w:name w:val="font31"/>
    <w:basedOn w:val="7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3">
    <w:name w:val="font51"/>
    <w:basedOn w:val="7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4">
    <w:name w:val="font01"/>
    <w:basedOn w:val="7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5">
    <w:name w:val="font11"/>
    <w:basedOn w:val="76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2\tds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B78FD2-918E-48C8-9D27-4066567317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tds2.dot</Template>
  <Company>CNIS</Company>
  <Pages>13</Pages>
  <Words>1017</Words>
  <Characters>5799</Characters>
  <Lines>48</Lines>
  <Paragraphs>13</Paragraphs>
  <TotalTime>8</TotalTime>
  <ScaleCrop>false</ScaleCrop>
  <LinksUpToDate>false</LinksUpToDate>
  <CharactersWithSpaces>6803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2022-01-06T08:31:00Z</dcterms:created>
  <dc:creator>CSH</dc:creator>
  <cp:lastModifiedBy>.. 雷~</cp:lastModifiedBy>
  <cp:lastPrinted>2021-09-15T07:21:00Z</cp:lastPrinted>
  <dcterms:modified xsi:type="dcterms:W3CDTF">2022-01-10T02:58:09Z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2052-11.1.0.11194</vt:lpwstr>
  </property>
  <property fmtid="{D5CDD505-2E9C-101B-9397-08002B2CF9AE}" pid="4" name="ICV">
    <vt:lpwstr>2D8A9C7A549344DB985AF3492E2C72EA</vt:lpwstr>
  </property>
</Properties>
</file>