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ICS65.020.20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CCS B 05 </w:t>
      </w:r>
    </w:p>
    <w:p>
      <w:pPr>
        <w:jc w:val="right"/>
        <w:rPr>
          <w:rFonts w:ascii="Times New Roman" w:hAnsi="Times New Roman" w:cs="Times New Roman"/>
          <w:b/>
          <w:bCs/>
          <w:sz w:val="84"/>
          <w:szCs w:val="84"/>
        </w:rPr>
      </w:pPr>
      <w:r>
        <w:t xml:space="preserve">                                                                          </w:t>
      </w:r>
      <w:r>
        <w:rPr>
          <w:rFonts w:ascii="Times New Roman" w:hAnsi="Times New Roman" w:cs="Times New Roman"/>
          <w:b/>
          <w:bCs/>
          <w:sz w:val="84"/>
          <w:szCs w:val="84"/>
        </w:rPr>
        <w:t>DB13</w:t>
      </w:r>
    </w:p>
    <w:p>
      <w:pPr>
        <w:jc w:val="distribute"/>
        <w:rPr>
          <w:rFonts w:ascii="宋体" w:hAnsi="宋体" w:eastAsia="宋体" w:cs="Times New Roman"/>
          <w:b/>
          <w:bCs/>
          <w:sz w:val="52"/>
          <w:szCs w:val="52"/>
        </w:rPr>
      </w:pPr>
      <w:r>
        <w:rPr>
          <w:rFonts w:hint="eastAsia" w:ascii="宋体" w:hAnsi="宋体" w:eastAsia="宋体" w:cs="Times New Roman"/>
          <w:b/>
          <w:bCs/>
          <w:sz w:val="52"/>
          <w:szCs w:val="52"/>
        </w:rPr>
        <w:t>河北省地方标准</w:t>
      </w:r>
    </w:p>
    <w:p>
      <w:pPr>
        <w:jc w:val="right"/>
        <w:rPr>
          <w:rFonts w:ascii="宋体" w:hAnsi="宋体" w:eastAsia="宋体" w:cs="Times New Roman"/>
          <w:b/>
          <w:bCs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D</w:t>
      </w:r>
      <w:r>
        <w:rPr>
          <w:rFonts w:ascii="宋体" w:hAnsi="宋体" w:eastAsia="宋体" w:cs="Times New Roman"/>
          <w:b/>
          <w:bCs/>
          <w:sz w:val="28"/>
          <w:szCs w:val="28"/>
        </w:rPr>
        <w:t>B13/T xxxx-xxxx</w:t>
      </w:r>
    </w:p>
    <w:p>
      <w:pPr>
        <w:jc w:val="right"/>
        <w:rPr>
          <w:rFonts w:ascii="宋体" w:hAnsi="宋体" w:eastAsia="宋体" w:cs="Times New Roman"/>
          <w:b/>
          <w:bCs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-232410</wp:posOffset>
                </wp:positionH>
                <wp:positionV relativeFrom="paragraph">
                  <wp:posOffset>262890</wp:posOffset>
                </wp:positionV>
                <wp:extent cx="5504180" cy="13335"/>
                <wp:effectExtent l="0" t="0" r="20320" b="2476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4330" cy="1344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8.3pt;margin-top:20.7pt;height:1.05pt;width:433.4pt;z-index:251659264;mso-width-relative:page;mso-height-relative:page;" filled="f" stroked="t" coordsize="21600,21600" o:gfxdata="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FgAAAGRycy9QSwECFAAUAAAACACHTuJATcBcdtgAAAAJAQAA&#10;DwAAAAAAAAABACAAAAA4AAAAZHJzL2Rvd25yZXYueG1sUEsBAhQAFAAAAAgAh07iQNfGFPXKAQAA&#10;ZwMAAA4AAAAAAAAAAQAgAAAAPQEAAGRycy9lMm9Eb2MueG1sUEsFBgAAAAAGAAYAWQEAAHkFAAAA&#10;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="方正黑体_GBK" w:hAnsi="方正黑体_GBK" w:eastAsia="方正黑体_GBK" w:cs="方正黑体_GBK"/>
          <w:b w:val="0"/>
          <w:bCs w:val="0"/>
          <w:sz w:val="52"/>
          <w:szCs w:val="52"/>
        </w:rPr>
      </w:pPr>
    </w:p>
    <w:p>
      <w:pPr>
        <w:jc w:val="center"/>
        <w:rPr>
          <w:rFonts w:hint="eastAsia" w:ascii="方正黑体_GBK" w:hAnsi="方正黑体_GBK" w:eastAsia="方正黑体_GBK" w:cs="方正黑体_GBK"/>
          <w:b w:val="0"/>
          <w:bCs w:val="0"/>
          <w:sz w:val="52"/>
          <w:szCs w:val="52"/>
        </w:rPr>
      </w:pPr>
    </w:p>
    <w:p>
      <w:pPr>
        <w:jc w:val="center"/>
        <w:rPr>
          <w:rFonts w:ascii="宋体" w:hAnsi="宋体" w:eastAsia="宋体" w:cs="Times New Roman"/>
          <w:b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52"/>
          <w:szCs w:val="52"/>
        </w:rPr>
        <w:t>玉米套种柴胡栽培技术规程</w:t>
      </w:r>
    </w:p>
    <w:p>
      <w:pPr>
        <w:rPr>
          <w:rFonts w:ascii="宋体" w:hAnsi="宋体" w:eastAsia="宋体" w:cs="Times New Roman"/>
          <w:b/>
          <w:bCs/>
          <w:sz w:val="28"/>
          <w:szCs w:val="28"/>
        </w:rPr>
      </w:pPr>
    </w:p>
    <w:p>
      <w:pPr>
        <w:rPr>
          <w:rFonts w:ascii="宋体" w:hAnsi="宋体" w:eastAsia="宋体" w:cs="Times New Roman"/>
          <w:b/>
          <w:bCs/>
          <w:sz w:val="28"/>
          <w:szCs w:val="28"/>
        </w:rPr>
      </w:pPr>
    </w:p>
    <w:p>
      <w:pPr>
        <w:rPr>
          <w:rFonts w:ascii="宋体" w:hAnsi="宋体" w:eastAsia="宋体" w:cs="Times New Roman"/>
          <w:b/>
          <w:bCs/>
          <w:sz w:val="28"/>
          <w:szCs w:val="28"/>
        </w:rPr>
      </w:pPr>
    </w:p>
    <w:p>
      <w:pPr>
        <w:rPr>
          <w:rFonts w:ascii="宋体" w:hAnsi="宋体" w:eastAsia="宋体" w:cs="Times New Roman"/>
          <w:b/>
          <w:bCs/>
          <w:sz w:val="28"/>
          <w:szCs w:val="28"/>
        </w:rPr>
      </w:pPr>
    </w:p>
    <w:p>
      <w:pPr>
        <w:rPr>
          <w:rFonts w:ascii="宋体" w:hAnsi="宋体" w:eastAsia="宋体" w:cs="Times New Roman"/>
          <w:b/>
          <w:bCs/>
          <w:sz w:val="28"/>
          <w:szCs w:val="28"/>
        </w:rPr>
      </w:pPr>
    </w:p>
    <w:p>
      <w:pPr>
        <w:rPr>
          <w:rFonts w:ascii="宋体" w:hAnsi="宋体" w:eastAsia="宋体" w:cs="Times New Roman"/>
          <w:b/>
          <w:bCs/>
          <w:sz w:val="28"/>
          <w:szCs w:val="28"/>
        </w:rPr>
      </w:pPr>
    </w:p>
    <w:p>
      <w:pPr>
        <w:rPr>
          <w:rFonts w:ascii="宋体" w:hAnsi="宋体" w:eastAsia="宋体" w:cs="Times New Roman"/>
          <w:b/>
          <w:bCs/>
          <w:sz w:val="28"/>
          <w:szCs w:val="28"/>
        </w:rPr>
      </w:pPr>
    </w:p>
    <w:p>
      <w:pP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416560</wp:posOffset>
                </wp:positionV>
                <wp:extent cx="5226685" cy="13335"/>
                <wp:effectExtent l="0" t="0" r="31750" b="2476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true">
                          <a:off x="0" y="0"/>
                          <a:ext cx="5226424" cy="1340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pt;margin-top:32.8pt;height:1.05pt;width:411.55pt;mso-position-horizontal-relative:margin;z-index:251661312;mso-width-relative:page;mso-height-relative:page;" filled="f" stroked="t" coordsize="21600,21600" o:gfxdata="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FgAAAGRycy9QSwECFAAUAAAACACHTuJAV88a&#10;YdYAAAAGAQAADwAAAAAAAAABACAAAAA4AAAAZHJzL2Rvd25yZXYueG1sUEsBAhQAFAAAAAgAh07i&#10;QM1Zp/fVAQAAdAMAAA4AAAAAAAAAAQAgAAAAOwEAAGRycy9lMm9Eb2MueG1sUEsFBgAAAAAGAAYA&#10;WQEAAII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5226050</wp:posOffset>
                </wp:positionV>
                <wp:extent cx="5477510" cy="40640"/>
                <wp:effectExtent l="0" t="0" r="28575" b="3619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7435" cy="4034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1.25pt;margin-top:411.5pt;height:3.2pt;width:431.3pt;z-index:251660288;mso-width-relative:page;mso-height-relative:page;" filled="f" stroked="t" coordsize="21600,21600" o:gfxdata="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WAAAAZHJzL1BLAQIUABQAAAAIAIdO4kDGaW1l2QAAAAsB&#10;AAAPAAAAAAAAAAEAIAAAADgAAABkcnMvZG93bnJldi54bWxQSwECFAAUAAAACACHTuJAJLX1DssB&#10;AABnAwAADgAAAAAAAAABACAAAAA+AQAAZHJzL2Uyb0RvYy54bWxQSwUGAAAAAAYABgBZAQAAewUA&#10;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xxxx-xx-xx发布                    xxxx-xx-xx实施</w:t>
      </w:r>
    </w:p>
    <w:p>
      <w:pPr>
        <w:rPr>
          <w:rFonts w:ascii="宋体" w:hAnsi="宋体" w:eastAsia="宋体" w:cs="Times New Roman"/>
          <w:b/>
          <w:bCs/>
          <w:szCs w:val="21"/>
        </w:rPr>
      </w:pPr>
    </w:p>
    <w:p>
      <w:pPr>
        <w:jc w:val="center"/>
        <w:rPr>
          <w:rFonts w:ascii="宋体" w:hAnsi="宋体" w:eastAsia="宋体" w:cs="Times New Roman"/>
          <w:b/>
          <w:bCs/>
          <w:sz w:val="36"/>
          <w:szCs w:val="36"/>
        </w:rPr>
      </w:pPr>
      <w:r>
        <w:rPr>
          <w:rFonts w:hint="eastAsia" w:ascii="宋体" w:hAnsi="宋体" w:eastAsia="宋体" w:cs="Times New Roman"/>
          <w:b/>
          <w:bCs/>
          <w:sz w:val="36"/>
          <w:szCs w:val="36"/>
        </w:rPr>
        <w:t xml:space="preserve">河北省市场监督管理局 </w:t>
      </w:r>
      <w:r>
        <w:rPr>
          <w:rFonts w:ascii="宋体" w:hAnsi="宋体" w:eastAsia="宋体" w:cs="Times New Roman"/>
          <w:b/>
          <w:bCs/>
          <w:sz w:val="36"/>
          <w:szCs w:val="36"/>
        </w:rPr>
        <w:t xml:space="preserve"> </w:t>
      </w:r>
      <w:r>
        <w:rPr>
          <w:rFonts w:hint="eastAsia" w:ascii="宋体" w:hAnsi="宋体" w:eastAsia="宋体" w:cs="Times New Roman"/>
          <w:b/>
          <w:bCs/>
          <w:sz w:val="36"/>
          <w:szCs w:val="36"/>
        </w:rPr>
        <w:t xml:space="preserve"> 发 布</w:t>
      </w:r>
    </w:p>
    <w:p>
      <w:pPr>
        <w:jc w:val="center"/>
        <w:rPr>
          <w:rFonts w:ascii="宋体" w:hAnsi="宋体" w:eastAsia="宋体" w:cs="Times New Roman"/>
          <w:b/>
          <w:bCs/>
          <w:szCs w:val="21"/>
        </w:rPr>
      </w:pPr>
    </w:p>
    <w:p>
      <w:pPr>
        <w:jc w:val="center"/>
        <w:rPr>
          <w:rFonts w:ascii="宋体" w:hAnsi="宋体" w:eastAsia="宋体" w:cs="Times New Roman"/>
          <w:b/>
          <w:bCs/>
          <w:szCs w:val="21"/>
        </w:rPr>
      </w:pPr>
    </w:p>
    <w:p>
      <w:pPr>
        <w:jc w:val="center"/>
        <w:rPr>
          <w:rFonts w:ascii="黑体" w:hAnsi="黑体" w:eastAsia="黑体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Times New Roman"/>
          <w:b/>
          <w:bCs/>
          <w:sz w:val="32"/>
          <w:szCs w:val="32"/>
        </w:rPr>
        <w:t>前</w:t>
      </w:r>
      <w:r>
        <w:rPr>
          <w:rFonts w:ascii="黑体" w:hAnsi="黑体" w:eastAsia="黑体" w:cs="Times New Roman"/>
          <w:b/>
          <w:bCs/>
          <w:sz w:val="32"/>
          <w:szCs w:val="32"/>
        </w:rPr>
        <w:t>  言</w:t>
      </w:r>
    </w:p>
    <w:p>
      <w:pPr>
        <w:jc w:val="left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本文件依据</w:t>
      </w:r>
      <w:r>
        <w:rPr>
          <w:rFonts w:ascii="宋体" w:hAnsi="宋体" w:eastAsia="宋体" w:cs="Times New Roman"/>
          <w:szCs w:val="21"/>
        </w:rPr>
        <w:t>GB/T 1.1—2020</w:t>
      </w:r>
      <w:r>
        <w:rPr>
          <w:rFonts w:hint="eastAsia" w:ascii="宋体" w:hAnsi="宋体" w:eastAsia="宋体" w:cs="Times New Roman"/>
          <w:szCs w:val="21"/>
        </w:rPr>
        <w:t>《标准化工作导则</w:t>
      </w:r>
      <w:r>
        <w:rPr>
          <w:rFonts w:ascii="宋体" w:hAnsi="宋体" w:eastAsia="宋体" w:cs="Times New Roman"/>
          <w:szCs w:val="21"/>
        </w:rPr>
        <w:t xml:space="preserve"> 第 1 部分：标准化文件的结构与起草规则》的规定起草。</w:t>
      </w:r>
    </w:p>
    <w:p>
      <w:pPr>
        <w:jc w:val="left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本文件提出单位：河北省农业农村厅</w:t>
      </w:r>
      <w:r>
        <w:rPr>
          <w:rFonts w:hint="eastAsia" w:ascii="宋体" w:hAnsi="宋体" w:eastAsia="宋体" w:cs="Times New Roman"/>
          <w:szCs w:val="21"/>
          <w:lang w:eastAsia="zh-CN"/>
        </w:rPr>
        <w:t>。</w:t>
      </w:r>
    </w:p>
    <w:p>
      <w:pPr>
        <w:jc w:val="left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本文件起草单位：河北中医学院</w:t>
      </w:r>
      <w:r>
        <w:rPr>
          <w:rFonts w:hint="eastAsia" w:ascii="宋体" w:hAnsi="宋体" w:eastAsia="宋体" w:cs="Times New Roman"/>
          <w:szCs w:val="21"/>
          <w:lang w:eastAsia="zh-CN"/>
        </w:rPr>
        <w:t>。</w:t>
      </w:r>
    </w:p>
    <w:p>
      <w:pPr>
        <w:jc w:val="left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本文件主要起草人：韩晓伟、贾河田、刘灵娣、付亚平、严玉平、刘钊、田伟、孙会改、朱若嘉</w:t>
      </w:r>
      <w:r>
        <w:rPr>
          <w:rFonts w:hint="eastAsia" w:ascii="宋体" w:hAnsi="宋体" w:eastAsia="宋体" w:cs="Times New Roman"/>
          <w:szCs w:val="21"/>
          <w:lang w:eastAsia="zh-CN"/>
        </w:rPr>
        <w:t>。</w:t>
      </w:r>
      <w:bookmarkStart w:id="51" w:name="_GoBack"/>
      <w:bookmarkEnd w:id="51"/>
    </w:p>
    <w:p>
      <w:pPr>
        <w:jc w:val="left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本文件为首次发布。</w:t>
      </w: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pStyle w:val="13"/>
      </w:pPr>
      <w:r>
        <w:rPr>
          <w:rFonts w:hint="eastAsia"/>
        </w:rPr>
        <w:t>玉米套种柴胡栽培技术规程</w:t>
      </w:r>
    </w:p>
    <w:p>
      <w:pPr>
        <w:pStyle w:val="11"/>
        <w:numPr>
          <w:ilvl w:val="0"/>
          <w:numId w:val="2"/>
        </w:numPr>
      </w:pPr>
      <w:r>
        <w:rPr>
          <w:rFonts w:hint="eastAsia"/>
        </w:rPr>
        <w:t>范围</w:t>
      </w:r>
    </w:p>
    <w:p>
      <w:pPr>
        <w:pStyle w:val="9"/>
      </w:pPr>
      <w:r>
        <w:rPr>
          <w:rFonts w:hint="eastAsia"/>
        </w:rPr>
        <w:t>本标准规定了玉米套种柴胡的有关术语和定义、土壤及整地要求、品种选择与用种要求、玉米种植、柴胡苗种植、田间管理、收获等技术。</w:t>
      </w:r>
    </w:p>
    <w:p>
      <w:pPr>
        <w:pStyle w:val="9"/>
      </w:pPr>
      <w:r>
        <w:rPr>
          <w:rFonts w:hint="eastAsia"/>
        </w:rPr>
        <w:t xml:space="preserve"> 本规程适用于河北玉米套种柴胡栽培。</w:t>
      </w:r>
    </w:p>
    <w:p>
      <w:pPr>
        <w:pStyle w:val="11"/>
        <w:numPr>
          <w:ilvl w:val="0"/>
          <w:numId w:val="2"/>
        </w:numPr>
      </w:pPr>
      <w:r>
        <w:rPr>
          <w:rFonts w:hint="eastAsia"/>
        </w:rPr>
        <w:t>规范性引用文件</w:t>
      </w:r>
    </w:p>
    <w:p>
      <w:pPr>
        <w:pStyle w:val="9"/>
      </w:pPr>
      <w:r>
        <w:rPr>
          <w:rFonts w:hint="eastAsia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>
      <w:pPr>
        <w:pStyle w:val="9"/>
      </w:pPr>
      <w:r>
        <w:rPr>
          <w:rFonts w:hint="eastAsia"/>
        </w:rPr>
        <w:t>G</w:t>
      </w:r>
      <w:r>
        <w:t xml:space="preserve">B1353   </w:t>
      </w:r>
      <w:r>
        <w:rPr>
          <w:rFonts w:hint="eastAsia"/>
        </w:rPr>
        <w:t>玉米</w:t>
      </w:r>
    </w:p>
    <w:p>
      <w:pPr>
        <w:pStyle w:val="9"/>
      </w:pPr>
      <w:r>
        <w:rPr>
          <w:rFonts w:cs="宋体"/>
          <w:szCs w:val="21"/>
        </w:rPr>
        <w:t xml:space="preserve">GB 5084  </w:t>
      </w:r>
      <w:r>
        <w:rPr>
          <w:rFonts w:hint="eastAsia" w:cs="宋体"/>
          <w:szCs w:val="21"/>
        </w:rPr>
        <w:t>农田灌溉水质标准</w:t>
      </w:r>
    </w:p>
    <w:p>
      <w:pPr>
        <w:pStyle w:val="9"/>
      </w:pPr>
      <w:r>
        <w:rPr>
          <w:rFonts w:hint="eastAsia"/>
        </w:rPr>
        <w:t>GB 4285  农药安全使用标准</w:t>
      </w:r>
    </w:p>
    <w:p>
      <w:pPr>
        <w:pStyle w:val="9"/>
      </w:pPr>
      <w:r>
        <w:rPr>
          <w:rFonts w:hint="eastAsia"/>
        </w:rPr>
        <w:t xml:space="preserve">GB/T 8321 </w:t>
      </w:r>
      <w:r>
        <w:t xml:space="preserve"> </w:t>
      </w:r>
      <w:r>
        <w:rPr>
          <w:rFonts w:hint="eastAsia"/>
        </w:rPr>
        <w:t>农药合理使用准则（所有部分）</w:t>
      </w:r>
    </w:p>
    <w:p>
      <w:pPr>
        <w:pStyle w:val="9"/>
      </w:pPr>
      <w:r>
        <w:rPr>
          <w:rFonts w:cs="宋体"/>
          <w:szCs w:val="21"/>
        </w:rPr>
        <w:t xml:space="preserve">GB 15618  </w:t>
      </w:r>
      <w:r>
        <w:rPr>
          <w:rFonts w:hint="eastAsia" w:cs="宋体"/>
          <w:szCs w:val="21"/>
        </w:rPr>
        <w:t>土壤环境质量标准</w:t>
      </w:r>
    </w:p>
    <w:p>
      <w:pPr>
        <w:pStyle w:val="9"/>
      </w:pPr>
      <w:r>
        <w:rPr>
          <w:rFonts w:hint="eastAsia"/>
        </w:rPr>
        <w:t>NY/T 496  肥料合理使用准则  通则</w:t>
      </w:r>
    </w:p>
    <w:p>
      <w:pPr>
        <w:pStyle w:val="11"/>
        <w:numPr>
          <w:ilvl w:val="0"/>
          <w:numId w:val="2"/>
        </w:numPr>
        <w:rPr>
          <w:rFonts w:ascii="Times New Roman"/>
        </w:rPr>
      </w:pPr>
      <w:bookmarkStart w:id="0" w:name="_Toc388209812"/>
      <w:bookmarkStart w:id="1" w:name="_Toc370834266"/>
      <w:bookmarkStart w:id="2" w:name="_Toc387787951"/>
      <w:bookmarkStart w:id="3" w:name="_Toc388210107"/>
      <w:bookmarkStart w:id="4" w:name="_Toc370834174"/>
      <w:r>
        <w:rPr>
          <w:rFonts w:ascii="Times New Roman"/>
        </w:rPr>
        <w:t>术语和定义</w:t>
      </w:r>
      <w:bookmarkEnd w:id="0"/>
      <w:bookmarkEnd w:id="1"/>
      <w:bookmarkEnd w:id="2"/>
      <w:bookmarkEnd w:id="3"/>
      <w:bookmarkEnd w:id="4"/>
    </w:p>
    <w:p>
      <w:pPr>
        <w:pStyle w:val="9"/>
        <w:rPr>
          <w:rFonts w:ascii="Times New Roman"/>
        </w:rPr>
      </w:pPr>
      <w:bookmarkStart w:id="5" w:name="_Toc370834175"/>
      <w:r>
        <w:rPr>
          <w:rFonts w:ascii="Times New Roman"/>
        </w:rPr>
        <w:t>下列术语和定义适用于本标准。</w:t>
      </w:r>
      <w:bookmarkEnd w:id="5"/>
    </w:p>
    <w:p>
      <w:pPr>
        <w:pStyle w:val="12"/>
        <w:numPr>
          <w:ilvl w:val="1"/>
          <w:numId w:val="2"/>
        </w:numPr>
      </w:pPr>
      <w:bookmarkStart w:id="6" w:name="_Toc370834177"/>
      <w:bookmarkEnd w:id="6"/>
      <w:bookmarkStart w:id="7" w:name="_Toc370834268"/>
      <w:bookmarkEnd w:id="7"/>
      <w:bookmarkStart w:id="8" w:name="_Toc370834178"/>
      <w:bookmarkEnd w:id="8"/>
      <w:bookmarkStart w:id="9" w:name="_Toc370834269"/>
      <w:bookmarkEnd w:id="9"/>
      <w:bookmarkStart w:id="10" w:name="_Toc388210108"/>
      <w:bookmarkStart w:id="11" w:name="_Toc370834179"/>
      <w:bookmarkStart w:id="12" w:name="_Toc388209813"/>
      <w:bookmarkStart w:id="13" w:name="_Toc370834270"/>
      <w:bookmarkStart w:id="14" w:name="_Toc387787952"/>
      <w:r>
        <w:rPr>
          <w:rFonts w:hint="eastAsia"/>
        </w:rPr>
        <w:t>玉米套种柴胡</w:t>
      </w:r>
    </w:p>
    <w:p>
      <w:pPr>
        <w:pStyle w:val="9"/>
        <w:rPr>
          <w:rFonts w:ascii="Times New Roman"/>
        </w:rPr>
      </w:pPr>
      <w:r>
        <w:rPr>
          <w:rFonts w:hint="eastAsia" w:ascii="Times New Roman"/>
        </w:rPr>
        <w:t>将柴胡按一定行、株距和占地的宽窄比例种植在生长有玉米的地里。</w:t>
      </w:r>
    </w:p>
    <w:p>
      <w:pPr>
        <w:pStyle w:val="11"/>
        <w:numPr>
          <w:ilvl w:val="0"/>
          <w:numId w:val="2"/>
        </w:numPr>
        <w:rPr>
          <w:rFonts w:ascii="Times New Roman"/>
        </w:rPr>
      </w:pPr>
      <w:r>
        <w:rPr>
          <w:rFonts w:ascii="Times New Roman"/>
        </w:rPr>
        <w:t>土壤及整地要求</w:t>
      </w:r>
      <w:bookmarkEnd w:id="10"/>
      <w:bookmarkEnd w:id="11"/>
      <w:bookmarkEnd w:id="12"/>
      <w:bookmarkEnd w:id="13"/>
      <w:bookmarkEnd w:id="14"/>
    </w:p>
    <w:p>
      <w:pPr>
        <w:pStyle w:val="12"/>
        <w:numPr>
          <w:ilvl w:val="1"/>
          <w:numId w:val="2"/>
        </w:numPr>
        <w:rPr>
          <w:rFonts w:ascii="Times New Roman"/>
        </w:rPr>
      </w:pPr>
      <w:bookmarkStart w:id="15" w:name="_Toc370834271"/>
      <w:bookmarkStart w:id="16" w:name="_Toc388209814"/>
      <w:bookmarkStart w:id="17" w:name="_Toc370834180"/>
      <w:bookmarkStart w:id="18" w:name="_Toc387787953"/>
      <w:bookmarkStart w:id="19" w:name="_Toc388210109"/>
      <w:r>
        <w:rPr>
          <w:rFonts w:ascii="Times New Roman"/>
        </w:rPr>
        <w:t>土壤</w:t>
      </w:r>
      <w:bookmarkEnd w:id="15"/>
      <w:bookmarkEnd w:id="16"/>
      <w:bookmarkEnd w:id="17"/>
      <w:bookmarkEnd w:id="18"/>
      <w:bookmarkEnd w:id="19"/>
    </w:p>
    <w:p>
      <w:pPr>
        <w:pStyle w:val="9"/>
        <w:spacing w:line="360" w:lineRule="auto"/>
        <w:rPr>
          <w:rFonts w:ascii="Times New Roman"/>
          <w:color w:val="0000FF"/>
        </w:rPr>
      </w:pPr>
      <w:r>
        <w:rPr>
          <w:rFonts w:ascii="Times New Roman"/>
        </w:rPr>
        <w:t>宜选用有机质丰富的壤土和沙质壤土，pH6.5</w:t>
      </w:r>
      <w:r>
        <w:rPr>
          <w:rFonts w:ascii="Times New Roman"/>
          <w:kern w:val="2"/>
          <w:szCs w:val="24"/>
          <w:lang w:bidi="ar"/>
        </w:rPr>
        <w:t>～7.5，</w:t>
      </w:r>
      <w:r>
        <w:rPr>
          <w:rFonts w:ascii="Times New Roman"/>
        </w:rPr>
        <w:t>土层深厚、耕作层肥沃、排灌方便的平坦土地。其他条件符合GB 15618的规定。</w:t>
      </w:r>
    </w:p>
    <w:p>
      <w:pPr>
        <w:pStyle w:val="12"/>
        <w:numPr>
          <w:ilvl w:val="1"/>
          <w:numId w:val="2"/>
        </w:numPr>
        <w:rPr>
          <w:rFonts w:ascii="Times New Roman"/>
        </w:rPr>
      </w:pPr>
      <w:bookmarkStart w:id="20" w:name="_Toc388209815"/>
      <w:bookmarkStart w:id="21" w:name="_Toc370834181"/>
      <w:bookmarkStart w:id="22" w:name="_Toc387787954"/>
      <w:bookmarkStart w:id="23" w:name="_Toc370834272"/>
      <w:bookmarkStart w:id="24" w:name="_Toc388210110"/>
      <w:r>
        <w:rPr>
          <w:rFonts w:ascii="Times New Roman"/>
        </w:rPr>
        <w:t>整地</w:t>
      </w:r>
      <w:bookmarkEnd w:id="20"/>
      <w:bookmarkEnd w:id="21"/>
      <w:bookmarkEnd w:id="22"/>
      <w:bookmarkEnd w:id="23"/>
      <w:bookmarkEnd w:id="24"/>
    </w:p>
    <w:p>
      <w:pPr>
        <w:pStyle w:val="9"/>
        <w:rPr>
          <w:rFonts w:ascii="Times New Roman"/>
          <w:color w:val="000000"/>
        </w:rPr>
      </w:pPr>
      <w:r>
        <w:rPr>
          <w:rFonts w:ascii="Times New Roman"/>
          <w:color w:val="000000"/>
        </w:rPr>
        <w:t>耕地以机耕为主，深度在25 cm以上，耕后及时耙磨，平整地面，地块开好排灌水沟。</w:t>
      </w:r>
    </w:p>
    <w:p>
      <w:pPr>
        <w:pStyle w:val="12"/>
        <w:numPr>
          <w:ilvl w:val="0"/>
          <w:numId w:val="0"/>
        </w:numPr>
        <w:rPr>
          <w:rFonts w:hAnsi="黑体"/>
        </w:rPr>
      </w:pPr>
      <w:r>
        <w:rPr>
          <w:rFonts w:hAnsi="黑体"/>
        </w:rPr>
        <w:t>5  玉米种植与管理</w:t>
      </w:r>
    </w:p>
    <w:p>
      <w:pPr>
        <w:pStyle w:val="9"/>
        <w:ind w:firstLine="0" w:firstLineChars="0"/>
        <w:rPr>
          <w:rFonts w:ascii="黑体" w:hAnsi="黑体" w:eastAsia="黑体"/>
        </w:rPr>
      </w:pPr>
      <w:r>
        <w:rPr>
          <w:rFonts w:ascii="黑体" w:hAnsi="黑体" w:eastAsia="黑体"/>
        </w:rPr>
        <w:t>5.1  玉米品种及用种</w:t>
      </w:r>
    </w:p>
    <w:p>
      <w:pPr>
        <w:pStyle w:val="12"/>
        <w:numPr>
          <w:ilvl w:val="0"/>
          <w:numId w:val="0"/>
        </w:numPr>
        <w:ind w:left="143" w:leftChars="68" w:firstLine="420" w:firstLineChars="200"/>
        <w:rPr>
          <w:rFonts w:ascii="Times New Roman" w:eastAsia="宋体"/>
          <w:kern w:val="2"/>
          <w:szCs w:val="24"/>
          <w:lang w:bidi="ar"/>
        </w:rPr>
      </w:pPr>
      <w:r>
        <w:rPr>
          <w:rFonts w:ascii="Times New Roman" w:eastAsia="宋体"/>
          <w:kern w:val="2"/>
          <w:szCs w:val="24"/>
          <w:lang w:bidi="ar"/>
        </w:rPr>
        <w:t>选择高产稳产、品质良好、抗病抗倒的玉米品种，每亩用种2.5～4 kg。</w:t>
      </w:r>
    </w:p>
    <w:p>
      <w:pPr>
        <w:pStyle w:val="11"/>
        <w:numPr>
          <w:ilvl w:val="0"/>
          <w:numId w:val="0"/>
        </w:numPr>
        <w:rPr>
          <w:rFonts w:hAnsi="黑体"/>
        </w:rPr>
      </w:pPr>
      <w:bookmarkStart w:id="25" w:name="_Toc370834277"/>
      <w:bookmarkStart w:id="26" w:name="_Toc370834186"/>
      <w:r>
        <w:rPr>
          <w:rFonts w:hAnsi="黑体"/>
        </w:rPr>
        <w:t>5.2  玉米种植</w:t>
      </w:r>
      <w:bookmarkEnd w:id="25"/>
      <w:bookmarkEnd w:id="26"/>
    </w:p>
    <w:p>
      <w:pPr>
        <w:pStyle w:val="9"/>
      </w:pPr>
      <w:r>
        <w:rPr>
          <w:rFonts w:hint="eastAsia" w:hAnsi="宋体"/>
          <w:kern w:val="2"/>
          <w:szCs w:val="24"/>
          <w:lang w:bidi="ar"/>
        </w:rPr>
        <w:t>每亩种植3500～4000株。</w:t>
      </w:r>
    </w:p>
    <w:p>
      <w:pPr>
        <w:jc w:val="left"/>
        <w:rPr>
          <w:rFonts w:ascii="宋体" w:hAnsi="宋体" w:eastAsia="宋体" w:cs="Times New Roman"/>
          <w:szCs w:val="21"/>
        </w:rPr>
      </w:pPr>
    </w:p>
    <w:p>
      <w:pPr>
        <w:widowControl/>
        <w:spacing w:before="156" w:beforeLines="50" w:after="156" w:afterLines="50"/>
        <w:jc w:val="left"/>
        <w:outlineLvl w:val="2"/>
        <w:rPr>
          <w:rFonts w:ascii="黑体" w:hAnsi="黑体" w:eastAsia="黑体" w:cs="Times New Roman"/>
          <w:kern w:val="0"/>
          <w:szCs w:val="21"/>
        </w:rPr>
      </w:pPr>
      <w:bookmarkStart w:id="27" w:name="_Toc370834278"/>
      <w:bookmarkStart w:id="28" w:name="_Toc370834187"/>
      <w:r>
        <w:rPr>
          <w:rFonts w:hint="eastAsia" w:ascii="黑体" w:hAnsi="黑体" w:eastAsia="黑体" w:cs="Times New Roman"/>
          <w:kern w:val="0"/>
          <w:szCs w:val="21"/>
        </w:rPr>
        <w:t xml:space="preserve">5.2.1  </w:t>
      </w:r>
      <w:r>
        <w:rPr>
          <w:rFonts w:ascii="黑体" w:hAnsi="黑体" w:eastAsia="黑体" w:cs="Times New Roman"/>
          <w:kern w:val="0"/>
          <w:szCs w:val="21"/>
        </w:rPr>
        <w:t>种植时间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rPr>
          <w:rFonts w:ascii="Times New Roman" w:hAnsi="Times New Roman" w:eastAsia="宋体" w:cs="Times New Roman"/>
          <w:kern w:val="0"/>
          <w:szCs w:val="20"/>
        </w:rPr>
      </w:pPr>
      <w:r>
        <w:rPr>
          <w:rFonts w:hint="eastAsia" w:ascii="Times New Roman" w:hAnsi="Times New Roman" w:eastAsia="宋体" w:cs="Times New Roman"/>
          <w:kern w:val="0"/>
          <w:szCs w:val="20"/>
        </w:rPr>
        <w:t xml:space="preserve">    玉米早夏播。</w:t>
      </w:r>
    </w:p>
    <w:bookmarkEnd w:id="27"/>
    <w:bookmarkEnd w:id="28"/>
    <w:p>
      <w:pPr>
        <w:widowControl/>
        <w:spacing w:before="156" w:beforeLines="50" w:after="156" w:afterLines="50"/>
        <w:jc w:val="left"/>
        <w:outlineLvl w:val="2"/>
        <w:rPr>
          <w:rFonts w:ascii="黑体" w:hAnsi="黑体" w:eastAsia="黑体" w:cs="Times New Roman"/>
          <w:kern w:val="0"/>
          <w:szCs w:val="21"/>
        </w:rPr>
      </w:pPr>
      <w:bookmarkStart w:id="29" w:name="_Toc370834279"/>
      <w:bookmarkStart w:id="30" w:name="_Toc370834188"/>
      <w:r>
        <w:rPr>
          <w:rFonts w:hint="eastAsia" w:ascii="黑体" w:hAnsi="黑体" w:eastAsia="黑体" w:cs="Times New Roman"/>
          <w:kern w:val="0"/>
          <w:szCs w:val="21"/>
        </w:rPr>
        <w:t>5.2.2  玉米种植方式</w:t>
      </w:r>
    </w:p>
    <w:p>
      <w:pPr>
        <w:widowControl/>
        <w:spacing w:before="156" w:beforeLines="50" w:after="156" w:afterLines="50"/>
        <w:ind w:left="143" w:leftChars="68" w:firstLine="315" w:firstLineChars="150"/>
        <w:jc w:val="left"/>
        <w:outlineLvl w:val="2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宋体" w:hAnsi="宋体" w:eastAsia="宋体" w:cs="Times New Roman"/>
          <w:kern w:val="0"/>
          <w:szCs w:val="21"/>
        </w:rPr>
        <w:t>采用宽行密植的方式播种，</w:t>
      </w:r>
      <w:r>
        <w:rPr>
          <w:rFonts w:ascii="Times New Roman" w:hAnsi="Times New Roman" w:eastAsia="宋体" w:cs="Times New Roman"/>
          <w:kern w:val="0"/>
          <w:szCs w:val="21"/>
        </w:rPr>
        <w:t>行距80</w:t>
      </w:r>
      <w:r>
        <w:rPr>
          <w:rFonts w:ascii="Times New Roman" w:hAnsi="Times New Roman" w:eastAsia="宋体" w:cs="Times New Roman"/>
          <w:kern w:val="0"/>
          <w:szCs w:val="21"/>
          <w:lang w:bidi="ar"/>
        </w:rPr>
        <w:t>～110 cm，株距18～30 cm</w:t>
      </w:r>
      <w:r>
        <w:rPr>
          <w:rFonts w:ascii="Times New Roman" w:hAnsi="Times New Roman" w:eastAsia="宋体" w:cs="Times New Roman"/>
          <w:kern w:val="0"/>
          <w:szCs w:val="21"/>
        </w:rPr>
        <w:t>。</w:t>
      </w:r>
    </w:p>
    <w:p>
      <w:pPr>
        <w:widowControl/>
        <w:spacing w:before="156" w:beforeLines="50" w:after="156" w:afterLines="50"/>
        <w:jc w:val="left"/>
        <w:outlineLvl w:val="2"/>
        <w:rPr>
          <w:rFonts w:ascii="黑体" w:hAnsi="黑体" w:eastAsia="黑体" w:cs="Times New Roman"/>
          <w:kern w:val="0"/>
          <w:szCs w:val="21"/>
        </w:rPr>
      </w:pPr>
      <w:r>
        <w:rPr>
          <w:rFonts w:hint="eastAsia" w:ascii="黑体" w:hAnsi="黑体" w:eastAsia="黑体" w:cs="Times New Roman"/>
          <w:kern w:val="0"/>
          <w:szCs w:val="21"/>
        </w:rPr>
        <w:t>5.3  玉米</w:t>
      </w:r>
      <w:bookmarkEnd w:id="29"/>
      <w:bookmarkEnd w:id="30"/>
      <w:r>
        <w:rPr>
          <w:rFonts w:hint="eastAsia" w:ascii="黑体" w:hAnsi="黑体" w:eastAsia="黑体" w:cs="Times New Roman"/>
          <w:kern w:val="0"/>
          <w:szCs w:val="21"/>
        </w:rPr>
        <w:t>管理</w:t>
      </w:r>
    </w:p>
    <w:p>
      <w:pPr>
        <w:widowControl/>
        <w:spacing w:before="156" w:beforeLines="50" w:after="156" w:afterLines="50"/>
        <w:jc w:val="left"/>
        <w:outlineLvl w:val="2"/>
        <w:rPr>
          <w:rFonts w:ascii="黑体" w:hAnsi="黑体" w:eastAsia="黑体" w:cs="Times New Roman"/>
          <w:kern w:val="0"/>
          <w:szCs w:val="21"/>
        </w:rPr>
      </w:pPr>
      <w:r>
        <w:rPr>
          <w:rFonts w:hint="eastAsia" w:ascii="黑体" w:hAnsi="黑体" w:eastAsia="黑体" w:cs="Times New Roman"/>
          <w:kern w:val="0"/>
          <w:szCs w:val="21"/>
        </w:rPr>
        <w:t xml:space="preserve">5.3.1  </w:t>
      </w:r>
      <w:bookmarkStart w:id="31" w:name="_Toc388209829"/>
      <w:bookmarkStart w:id="32" w:name="_Toc388210124"/>
      <w:bookmarkStart w:id="33" w:name="_Toc387787968"/>
      <w:bookmarkStart w:id="34" w:name="_Toc370834197"/>
      <w:bookmarkStart w:id="35" w:name="_Toc370834288"/>
      <w:r>
        <w:rPr>
          <w:rFonts w:hint="eastAsia" w:ascii="黑体" w:hAnsi="黑体" w:eastAsia="黑体" w:cs="Times New Roman"/>
          <w:kern w:val="0"/>
          <w:szCs w:val="21"/>
        </w:rPr>
        <w:t>玉米</w:t>
      </w:r>
      <w:r>
        <w:rPr>
          <w:rFonts w:ascii="黑体" w:hAnsi="黑体" w:eastAsia="黑体" w:cs="Times New Roman"/>
          <w:kern w:val="0"/>
          <w:szCs w:val="21"/>
        </w:rPr>
        <w:t>除草</w:t>
      </w:r>
      <w:bookmarkEnd w:id="31"/>
      <w:bookmarkEnd w:id="32"/>
      <w:bookmarkEnd w:id="33"/>
      <w:bookmarkEnd w:id="34"/>
      <w:bookmarkEnd w:id="35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20" w:firstLineChars="200"/>
        <w:rPr>
          <w:rFonts w:ascii="Times New Roman" w:hAnsi="Times New Roman" w:eastAsia="宋体" w:cs="Times New Roman"/>
          <w:kern w:val="0"/>
          <w:szCs w:val="20"/>
          <w:lang w:bidi="ar"/>
        </w:rPr>
      </w:pPr>
      <w:r>
        <w:rPr>
          <w:rFonts w:ascii="Times New Roman" w:hAnsi="Times New Roman" w:eastAsia="宋体" w:cs="Times New Roman"/>
          <w:szCs w:val="24"/>
          <w:lang w:bidi="ar"/>
        </w:rPr>
        <w:t>在小喇叭口期前期，株高40</w:t>
      </w:r>
      <w:r>
        <w:rPr>
          <w:rFonts w:ascii="Times New Roman" w:hAnsi="Times New Roman" w:eastAsia="宋体" w:cs="Times New Roman"/>
          <w:kern w:val="0"/>
          <w:szCs w:val="20"/>
          <w:lang w:bidi="ar"/>
        </w:rPr>
        <w:t>～50 cm时进行中耕除草，也为柴胡套播做好准备。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rPr>
          <w:rFonts w:ascii="黑体" w:hAnsi="黑体" w:eastAsia="黑体" w:cs="Times New Roman"/>
          <w:kern w:val="0"/>
          <w:szCs w:val="20"/>
        </w:rPr>
      </w:pPr>
      <w:r>
        <w:rPr>
          <w:rFonts w:hint="eastAsia" w:ascii="黑体" w:hAnsi="黑体" w:eastAsia="黑体" w:cs="Times New Roman"/>
          <w:kern w:val="0"/>
          <w:szCs w:val="20"/>
        </w:rPr>
        <w:t>5.3.2  玉米追肥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20" w:firstLineChars="200"/>
        <w:rPr>
          <w:rFonts w:ascii="Times New Roman" w:hAnsi="Times New Roman" w:eastAsia="宋体" w:cs="Times New Roman"/>
          <w:kern w:val="0"/>
          <w:szCs w:val="20"/>
        </w:rPr>
      </w:pPr>
      <w:r>
        <w:rPr>
          <w:rFonts w:ascii="Times New Roman" w:hAnsi="Times New Roman" w:eastAsia="宋体" w:cs="Times New Roman"/>
          <w:kern w:val="0"/>
          <w:szCs w:val="20"/>
        </w:rPr>
        <w:t>所用肥料符合NY/T 496的要求，柴胡播种前，</w:t>
      </w:r>
      <w:r>
        <w:rPr>
          <w:rFonts w:ascii="Times New Roman" w:hAnsi="Times New Roman" w:eastAsia="宋体" w:cs="Times New Roman"/>
          <w:kern w:val="0"/>
          <w:szCs w:val="20"/>
          <w:lang w:bidi="ar"/>
        </w:rPr>
        <w:t>结合玉米中耕除草，每亩施入氮磷钾三元复混肥30 kg，保证玉米追肥和柴胡基肥，一肥两用的效果。</w:t>
      </w:r>
    </w:p>
    <w:p>
      <w:pPr>
        <w:widowControl/>
        <w:spacing w:before="156" w:beforeLines="50" w:after="156" w:afterLines="50"/>
        <w:jc w:val="left"/>
        <w:outlineLvl w:val="2"/>
        <w:rPr>
          <w:rFonts w:ascii="黑体" w:hAnsi="黑体" w:eastAsia="黑体" w:cs="Times New Roman"/>
          <w:kern w:val="0"/>
          <w:szCs w:val="21"/>
        </w:rPr>
      </w:pPr>
      <w:bookmarkStart w:id="36" w:name="_Toc370834280"/>
      <w:bookmarkStart w:id="37" w:name="_Toc370834189"/>
      <w:r>
        <w:rPr>
          <w:rFonts w:hint="eastAsia" w:ascii="黑体" w:hAnsi="黑体" w:eastAsia="黑体" w:cs="Times New Roman"/>
          <w:kern w:val="0"/>
          <w:szCs w:val="21"/>
        </w:rPr>
        <w:t>5.3.3  玉米收获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rPr>
          <w:rFonts w:ascii="宋体" w:hAnsi="Times New Roman" w:eastAsia="宋体" w:cs="Times New Roman"/>
          <w:kern w:val="0"/>
          <w:szCs w:val="20"/>
        </w:rPr>
      </w:pPr>
      <w:r>
        <w:rPr>
          <w:rFonts w:hint="eastAsia" w:ascii="宋体" w:hAnsi="Times New Roman" w:eastAsia="宋体" w:cs="Times New Roman"/>
          <w:kern w:val="0"/>
          <w:szCs w:val="20"/>
        </w:rPr>
        <w:t xml:space="preserve">    在当年9月中下旬，玉米进入蜡熟期，苞叶变白且松散时收获。采用人工收获或专用小型机械收获，避免对柴胡苗伤害。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rPr>
          <w:rFonts w:ascii="黑体" w:hAnsi="黑体" w:eastAsia="黑体" w:cs="Times New Roman"/>
          <w:kern w:val="0"/>
          <w:szCs w:val="20"/>
        </w:rPr>
      </w:pPr>
      <w:r>
        <w:rPr>
          <w:rFonts w:ascii="黑体" w:hAnsi="黑体" w:eastAsia="黑体" w:cs="Times New Roman"/>
          <w:kern w:val="0"/>
          <w:szCs w:val="20"/>
        </w:rPr>
        <w:t>6  柴胡种植与管理</w:t>
      </w:r>
    </w:p>
    <w:p>
      <w:pPr>
        <w:widowControl/>
        <w:spacing w:before="156" w:beforeLines="50" w:after="156" w:afterLines="50"/>
        <w:jc w:val="left"/>
        <w:outlineLvl w:val="2"/>
        <w:rPr>
          <w:rFonts w:ascii="黑体" w:hAnsi="黑体" w:eastAsia="黑体" w:cs="Times New Roman"/>
          <w:kern w:val="0"/>
          <w:szCs w:val="21"/>
        </w:rPr>
      </w:pPr>
      <w:r>
        <w:rPr>
          <w:rFonts w:ascii="黑体" w:hAnsi="黑体" w:eastAsia="黑体" w:cs="Times New Roman"/>
          <w:kern w:val="0"/>
          <w:szCs w:val="21"/>
        </w:rPr>
        <w:t>6.1  种植规格</w:t>
      </w:r>
      <w:bookmarkEnd w:id="36"/>
      <w:bookmarkEnd w:id="37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rPr>
          <w:rFonts w:ascii="Times New Roman" w:hAnsi="Times New Roman" w:eastAsia="宋体" w:cs="Times New Roman"/>
          <w:color w:val="FF0000"/>
          <w:kern w:val="0"/>
          <w:szCs w:val="20"/>
        </w:rPr>
      </w:pPr>
      <w:r>
        <w:rPr>
          <w:rFonts w:ascii="Times New Roman" w:hAnsi="Times New Roman" w:eastAsia="宋体" w:cs="Times New Roman"/>
          <w:kern w:val="0"/>
          <w:szCs w:val="20"/>
        </w:rPr>
        <w:t xml:space="preserve">    </w:t>
      </w:r>
      <w:r>
        <w:rPr>
          <w:rFonts w:hint="eastAsia" w:ascii="Times New Roman" w:hAnsi="Times New Roman" w:eastAsia="宋体" w:cs="Times New Roman"/>
          <w:kern w:val="0"/>
          <w:szCs w:val="20"/>
        </w:rPr>
        <w:t>玉米间作套种北柴胡种植方式及规格见附</w:t>
      </w:r>
      <w:r>
        <w:rPr>
          <w:rFonts w:hint="eastAsia" w:ascii="宋体" w:hAnsi="宋体" w:eastAsia="宋体" w:cs="Times New Roman"/>
          <w:kern w:val="0"/>
          <w:szCs w:val="20"/>
        </w:rPr>
        <w:t>录A</w:t>
      </w:r>
      <w:r>
        <w:rPr>
          <w:rFonts w:hint="eastAsia" w:ascii="Times New Roman" w:hAnsi="Times New Roman" w:eastAsia="宋体" w:cs="Times New Roman"/>
          <w:kern w:val="0"/>
          <w:szCs w:val="20"/>
        </w:rPr>
        <w:t>。</w:t>
      </w:r>
    </w:p>
    <w:p>
      <w:pPr>
        <w:widowControl/>
        <w:spacing w:before="156" w:beforeLines="50" w:after="156" w:afterLines="50"/>
        <w:jc w:val="left"/>
        <w:outlineLvl w:val="2"/>
        <w:rPr>
          <w:rFonts w:ascii="黑体" w:hAnsi="黑体" w:eastAsia="黑体" w:cs="Times New Roman"/>
          <w:kern w:val="0"/>
          <w:szCs w:val="21"/>
        </w:rPr>
      </w:pPr>
      <w:bookmarkStart w:id="38" w:name="_Toc370834194"/>
      <w:bookmarkStart w:id="39" w:name="_Toc370834191"/>
      <w:bookmarkStart w:id="40" w:name="_Toc370834285"/>
      <w:bookmarkStart w:id="41" w:name="_Toc370834282"/>
      <w:r>
        <w:rPr>
          <w:rFonts w:ascii="黑体" w:hAnsi="黑体" w:eastAsia="黑体" w:cs="Times New Roman"/>
          <w:kern w:val="0"/>
          <w:szCs w:val="21"/>
        </w:rPr>
        <w:t>6.2  柴胡品种</w:t>
      </w:r>
      <w:r>
        <w:rPr>
          <w:rFonts w:hint="eastAsia" w:ascii="黑体" w:hAnsi="黑体" w:eastAsia="黑体" w:cs="Times New Roman"/>
          <w:kern w:val="0"/>
          <w:szCs w:val="21"/>
        </w:rPr>
        <w:t>选择</w:t>
      </w:r>
    </w:p>
    <w:p>
      <w:pPr>
        <w:widowControl/>
        <w:spacing w:before="156" w:beforeLines="50" w:after="156" w:afterLines="50" w:line="360" w:lineRule="auto"/>
        <w:ind w:left="143" w:leftChars="68" w:firstLine="420" w:firstLineChars="200"/>
        <w:jc w:val="left"/>
        <w:outlineLvl w:val="2"/>
        <w:rPr>
          <w:rFonts w:ascii="Times New Roman" w:hAnsi="Times New Roman" w:eastAsia="宋体" w:cs="Times New Roman"/>
          <w:szCs w:val="24"/>
          <w:lang w:bidi="ar"/>
        </w:rPr>
      </w:pPr>
      <w:bookmarkStart w:id="42" w:name="_Toc370834183"/>
      <w:bookmarkStart w:id="43" w:name="_Toc370834274"/>
      <w:r>
        <w:rPr>
          <w:rFonts w:ascii="Times New Roman" w:hAnsi="Times New Roman" w:eastAsia="宋体" w:cs="Times New Roman"/>
          <w:szCs w:val="24"/>
          <w:lang w:bidi="ar"/>
        </w:rPr>
        <w:t>选择《中华人民共和国药典》收载的伞形科植物柴胡（</w:t>
      </w:r>
      <w:r>
        <w:rPr>
          <w:rFonts w:ascii="Times New Roman" w:hAnsi="Times New Roman" w:eastAsia="宋体" w:cs="Times New Roman"/>
          <w:i/>
          <w:iCs/>
          <w:szCs w:val="24"/>
          <w:lang w:bidi="ar"/>
        </w:rPr>
        <w:t>Bupleurum chinense</w:t>
      </w:r>
      <w:r>
        <w:rPr>
          <w:rFonts w:ascii="Times New Roman" w:hAnsi="Times New Roman" w:eastAsia="宋体" w:cs="Times New Roman"/>
          <w:szCs w:val="24"/>
          <w:lang w:bidi="ar"/>
        </w:rPr>
        <w:t xml:space="preserve"> DC.）(北柴胡）为基源的中柴2号、冀柴1号柴胡、山西万荣柴胡等。</w:t>
      </w:r>
    </w:p>
    <w:bookmarkEnd w:id="42"/>
    <w:bookmarkEnd w:id="43"/>
    <w:p>
      <w:pPr>
        <w:widowControl/>
        <w:spacing w:before="156" w:beforeLines="50" w:after="156" w:afterLines="50"/>
        <w:jc w:val="left"/>
        <w:outlineLvl w:val="2"/>
        <w:rPr>
          <w:rFonts w:ascii="黑体" w:hAnsi="黑体" w:eastAsia="黑体" w:cs="Times New Roman"/>
          <w:kern w:val="0"/>
          <w:szCs w:val="21"/>
        </w:rPr>
      </w:pPr>
      <w:r>
        <w:rPr>
          <w:rFonts w:ascii="黑体" w:hAnsi="黑体" w:eastAsia="黑体" w:cs="Times New Roman"/>
          <w:kern w:val="0"/>
          <w:szCs w:val="21"/>
        </w:rPr>
        <w:t>6.3  柴胡种植</w:t>
      </w:r>
    </w:p>
    <w:p>
      <w:pPr>
        <w:widowControl/>
        <w:spacing w:before="156" w:beforeLines="50" w:after="156" w:afterLines="50"/>
        <w:jc w:val="left"/>
        <w:outlineLvl w:val="2"/>
        <w:rPr>
          <w:rFonts w:ascii="黑体" w:hAnsi="黑体" w:eastAsia="黑体" w:cs="Times New Roman"/>
          <w:kern w:val="0"/>
          <w:szCs w:val="21"/>
        </w:rPr>
      </w:pPr>
      <w:r>
        <w:rPr>
          <w:rFonts w:ascii="黑体" w:hAnsi="黑体" w:eastAsia="黑体" w:cs="Times New Roman"/>
          <w:kern w:val="0"/>
          <w:szCs w:val="21"/>
        </w:rPr>
        <w:t>6.3.1  种植时间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20" w:firstLineChars="200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6月下旬</w:t>
      </w:r>
      <w:r>
        <w:rPr>
          <w:rFonts w:ascii="Times New Roman" w:hAnsi="Times New Roman" w:eastAsia="宋体" w:cs="Times New Roman"/>
          <w:kern w:val="0"/>
          <w:szCs w:val="20"/>
          <w:lang w:bidi="ar"/>
        </w:rPr>
        <w:t>～7月上旬，</w:t>
      </w:r>
      <w:r>
        <w:rPr>
          <w:rFonts w:ascii="Times New Roman" w:hAnsi="Times New Roman" w:eastAsia="宋体" w:cs="Times New Roman"/>
          <w:kern w:val="0"/>
          <w:szCs w:val="21"/>
        </w:rPr>
        <w:t>待玉米长到40~50 cm以上时，可立即播种柴胡。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rPr>
          <w:rFonts w:ascii="黑体" w:hAnsi="黑体" w:eastAsia="黑体" w:cs="Times New Roman"/>
          <w:kern w:val="0"/>
          <w:szCs w:val="21"/>
        </w:rPr>
      </w:pPr>
      <w:r>
        <w:rPr>
          <w:rFonts w:ascii="黑体" w:hAnsi="黑体" w:eastAsia="黑体" w:cs="Times New Roman"/>
          <w:kern w:val="0"/>
          <w:szCs w:val="21"/>
        </w:rPr>
        <w:t>6.3.2  种植方法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 xml:space="preserve">    在玉米行间按照20</w:t>
      </w:r>
      <w:r>
        <w:rPr>
          <w:rFonts w:ascii="Times New Roman" w:hAnsi="Times New Roman" w:eastAsia="宋体" w:cs="Times New Roman"/>
          <w:kern w:val="0"/>
          <w:szCs w:val="20"/>
          <w:lang w:bidi="ar"/>
        </w:rPr>
        <w:t>～25 cm的行距，划1 cm深的浅沟，将柴胡种子均匀撒入沟内，覆土0.5 cm厚或不覆土，镇压即可。也可用专用播种机械，调节好出籽量，在玉米行间浅播入土1~2 cm即可。亩用种2～3 kg。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rPr>
          <w:rFonts w:ascii="黑体" w:hAnsi="黑体" w:eastAsia="黑体" w:cs="Times New Roman"/>
          <w:szCs w:val="24"/>
          <w:lang w:bidi="ar"/>
        </w:rPr>
      </w:pPr>
      <w:r>
        <w:rPr>
          <w:rFonts w:ascii="黑体" w:hAnsi="黑体" w:eastAsia="黑体" w:cs="Times New Roman"/>
          <w:kern w:val="0"/>
          <w:szCs w:val="21"/>
        </w:rPr>
        <w:t>6.4  柴胡田间管理</w:t>
      </w:r>
      <w:bookmarkEnd w:id="38"/>
      <w:bookmarkEnd w:id="39"/>
      <w:bookmarkEnd w:id="40"/>
      <w:bookmarkEnd w:id="41"/>
    </w:p>
    <w:p>
      <w:pPr>
        <w:widowControl/>
        <w:spacing w:before="156" w:beforeLines="50" w:after="156" w:afterLines="50"/>
        <w:jc w:val="left"/>
        <w:outlineLvl w:val="2"/>
        <w:rPr>
          <w:rFonts w:ascii="黑体" w:hAnsi="黑体" w:eastAsia="黑体" w:cs="Times New Roman"/>
          <w:kern w:val="0"/>
          <w:szCs w:val="21"/>
        </w:rPr>
      </w:pPr>
      <w:r>
        <w:rPr>
          <w:rFonts w:ascii="黑体" w:hAnsi="黑体" w:eastAsia="黑体" w:cs="Times New Roman"/>
          <w:kern w:val="0"/>
          <w:szCs w:val="21"/>
        </w:rPr>
        <w:t>6.4.1  柴胡疏苗间苗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/>
        <w:rPr>
          <w:rFonts w:ascii="Times New Roman" w:hAnsi="Times New Roman" w:eastAsia="宋体" w:cs="Times New Roman"/>
          <w:szCs w:val="24"/>
          <w:lang w:bidi="ar"/>
        </w:rPr>
      </w:pPr>
      <w:r>
        <w:rPr>
          <w:rFonts w:ascii="Times New Roman" w:hAnsi="Times New Roman" w:eastAsia="宋体" w:cs="Times New Roman"/>
          <w:szCs w:val="24"/>
          <w:lang w:bidi="ar"/>
        </w:rPr>
        <w:t>在玉米收获后，将秸秆清理至田外，对柴胡进行一次疏苗间苗，一般亩留</w:t>
      </w:r>
      <w:r>
        <w:rPr>
          <w:rFonts w:ascii="Times New Roman" w:hAnsi="Times New Roman" w:eastAsia="宋体" w:cs="Times New Roman"/>
          <w:color w:val="000000"/>
          <w:szCs w:val="24"/>
          <w:lang w:bidi="ar"/>
        </w:rPr>
        <w:t>苗6万~8万株</w:t>
      </w:r>
      <w:r>
        <w:rPr>
          <w:rFonts w:ascii="Times New Roman" w:hAnsi="Times New Roman" w:eastAsia="宋体" w:cs="Times New Roman"/>
          <w:szCs w:val="24"/>
          <w:lang w:bidi="ar"/>
        </w:rPr>
        <w:t>。</w:t>
      </w:r>
    </w:p>
    <w:p>
      <w:pPr>
        <w:widowControl/>
        <w:numPr>
          <w:ilvl w:val="1"/>
          <w:numId w:val="0"/>
        </w:numPr>
        <w:spacing w:before="156" w:beforeLines="50" w:after="156" w:afterLines="50"/>
        <w:jc w:val="left"/>
        <w:outlineLvl w:val="2"/>
        <w:rPr>
          <w:rFonts w:ascii="黑体" w:hAnsi="黑体" w:eastAsia="黑体" w:cs="Times New Roman"/>
          <w:kern w:val="0"/>
          <w:szCs w:val="21"/>
        </w:rPr>
      </w:pPr>
      <w:bookmarkStart w:id="44" w:name="_Toc370834290"/>
      <w:bookmarkStart w:id="45" w:name="_Toc370834199"/>
      <w:r>
        <w:rPr>
          <w:rFonts w:ascii="黑体" w:hAnsi="黑体" w:eastAsia="黑体" w:cs="Times New Roman"/>
          <w:kern w:val="0"/>
          <w:szCs w:val="21"/>
        </w:rPr>
        <w:t>6.4.2  柴胡追肥</w:t>
      </w:r>
    </w:p>
    <w:p>
      <w:pPr>
        <w:widowControl/>
        <w:numPr>
          <w:ilvl w:val="1"/>
          <w:numId w:val="0"/>
        </w:numPr>
        <w:spacing w:before="156" w:beforeLines="50" w:after="156" w:afterLines="50"/>
        <w:ind w:firstLine="420" w:firstLineChars="200"/>
        <w:jc w:val="left"/>
        <w:outlineLvl w:val="2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夏季，亩施有机肥400</w:t>
      </w:r>
      <w:r>
        <w:rPr>
          <w:rFonts w:ascii="Times New Roman" w:hAnsi="Times New Roman" w:eastAsia="黑体" w:cs="Times New Roman"/>
          <w:kern w:val="0"/>
          <w:szCs w:val="21"/>
        </w:rPr>
        <w:t>~</w:t>
      </w:r>
      <w:r>
        <w:rPr>
          <w:rFonts w:ascii="Times New Roman" w:hAnsi="Times New Roman" w:eastAsia="宋体" w:cs="Times New Roman"/>
          <w:kern w:val="0"/>
          <w:szCs w:val="21"/>
        </w:rPr>
        <w:t>500 kg</w:t>
      </w:r>
      <w:r>
        <w:rPr>
          <w:rFonts w:hint="eastAsia" w:ascii="Times New Roman" w:hAnsi="Times New Roman" w:eastAsia="宋体" w:cs="Times New Roman"/>
          <w:kern w:val="0"/>
          <w:szCs w:val="21"/>
        </w:rPr>
        <w:t>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rPr>
          <w:rFonts w:ascii="黑体" w:hAnsi="黑体" w:eastAsia="黑体" w:cs="Times New Roman"/>
          <w:kern w:val="0"/>
          <w:szCs w:val="20"/>
        </w:rPr>
      </w:pPr>
      <w:r>
        <w:rPr>
          <w:rFonts w:ascii="黑体" w:hAnsi="黑体" w:eastAsia="黑体" w:cs="Times New Roman"/>
          <w:szCs w:val="24"/>
          <w:lang w:bidi="ar"/>
        </w:rPr>
        <w:t xml:space="preserve">6.4.3  </w:t>
      </w:r>
      <w:r>
        <w:rPr>
          <w:rFonts w:ascii="黑体" w:hAnsi="黑体" w:eastAsia="黑体" w:cs="Times New Roman"/>
          <w:kern w:val="0"/>
          <w:szCs w:val="20"/>
        </w:rPr>
        <w:t>柴胡割薹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20" w:firstLineChars="200"/>
        <w:rPr>
          <w:rFonts w:ascii="Times New Roman" w:hAnsi="Times New Roman" w:eastAsia="宋体" w:cs="Times New Roman"/>
          <w:kern w:val="0"/>
          <w:szCs w:val="20"/>
        </w:rPr>
      </w:pPr>
      <w:r>
        <w:rPr>
          <w:rFonts w:ascii="Times New Roman" w:hAnsi="Times New Roman" w:eastAsia="宋体" w:cs="Times New Roman"/>
          <w:kern w:val="0"/>
          <w:szCs w:val="20"/>
        </w:rPr>
        <w:t>在非留种田第二年的6月中旬~7月上旬，柴胡现蕾初期，选择晴天，将柴胡的花蕾全部割掉，割1遍，留茬高度10 cm。</w:t>
      </w:r>
    </w:p>
    <w:bookmarkEnd w:id="44"/>
    <w:bookmarkEnd w:id="45"/>
    <w:p>
      <w:pPr>
        <w:widowControl/>
        <w:spacing w:before="156" w:beforeLines="50" w:after="156" w:afterLines="50" w:line="360" w:lineRule="auto"/>
        <w:jc w:val="left"/>
        <w:outlineLvl w:val="2"/>
        <w:rPr>
          <w:rFonts w:ascii="黑体" w:hAnsi="黑体" w:eastAsia="黑体" w:cs="Times New Roman"/>
          <w:kern w:val="0"/>
          <w:szCs w:val="21"/>
        </w:rPr>
      </w:pPr>
      <w:bookmarkStart w:id="46" w:name="_Toc388209830"/>
      <w:bookmarkStart w:id="47" w:name="_Toc388210125"/>
      <w:bookmarkStart w:id="48" w:name="_Toc387787969"/>
      <w:bookmarkStart w:id="49" w:name="_Toc370834291"/>
      <w:bookmarkStart w:id="50" w:name="_Toc370834200"/>
      <w:r>
        <w:rPr>
          <w:rFonts w:ascii="黑体" w:hAnsi="黑体" w:eastAsia="黑体" w:cs="Times New Roman"/>
          <w:kern w:val="0"/>
          <w:szCs w:val="21"/>
        </w:rPr>
        <w:t>6.4.4  柴胡病虫害防治</w:t>
      </w:r>
      <w:bookmarkEnd w:id="46"/>
      <w:bookmarkEnd w:id="47"/>
      <w:bookmarkEnd w:id="48"/>
      <w:bookmarkEnd w:id="49"/>
      <w:bookmarkEnd w:id="50"/>
    </w:p>
    <w:p>
      <w:pPr>
        <w:widowControl/>
        <w:spacing w:before="156" w:beforeLines="50" w:after="156" w:afterLines="50" w:line="360" w:lineRule="auto"/>
        <w:jc w:val="left"/>
        <w:outlineLvl w:val="2"/>
        <w:rPr>
          <w:rFonts w:ascii="宋体" w:hAnsi="宋体" w:eastAsia="宋体" w:cs="Times New Roman"/>
          <w:kern w:val="0"/>
          <w:szCs w:val="21"/>
        </w:rPr>
      </w:pPr>
      <w:r>
        <w:rPr>
          <w:rFonts w:hint="eastAsia" w:ascii="宋体" w:hAnsi="宋体" w:eastAsia="宋体" w:cs="Times New Roman"/>
          <w:kern w:val="0"/>
          <w:szCs w:val="21"/>
        </w:rPr>
        <w:t>柴胡玉米病虫害见表</w:t>
      </w:r>
      <w:r>
        <w:rPr>
          <w:rFonts w:ascii="宋体" w:hAnsi="宋体" w:eastAsia="宋体" w:cs="Times New Roman"/>
          <w:kern w:val="0"/>
          <w:szCs w:val="21"/>
        </w:rPr>
        <w:t>1</w:t>
      </w:r>
      <w:r>
        <w:rPr>
          <w:rFonts w:hint="eastAsia" w:ascii="宋体" w:hAnsi="宋体" w:eastAsia="宋体" w:cs="Times New Roman"/>
          <w:kern w:val="0"/>
          <w:szCs w:val="21"/>
        </w:rPr>
        <w:t>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20" w:firstLineChars="200"/>
        <w:jc w:val="center"/>
        <w:rPr>
          <w:rFonts w:ascii="Times New Roman" w:hAnsi="Times New Roman" w:eastAsia="宋体" w:cs="Times New Roman"/>
          <w:szCs w:val="24"/>
          <w:lang w:bidi="ar"/>
        </w:rPr>
      </w:pPr>
      <w:r>
        <w:rPr>
          <w:rFonts w:hint="eastAsia" w:ascii="Times New Roman" w:hAnsi="Times New Roman" w:eastAsia="宋体" w:cs="Times New Roman"/>
          <w:szCs w:val="24"/>
          <w:lang w:bidi="ar"/>
        </w:rPr>
        <w:t>表1</w:t>
      </w:r>
      <w:r>
        <w:rPr>
          <w:rFonts w:ascii="Times New Roman" w:hAnsi="Times New Roman" w:eastAsia="宋体" w:cs="Times New Roman"/>
          <w:szCs w:val="24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szCs w:val="24"/>
          <w:lang w:bidi="ar"/>
        </w:rPr>
        <w:t>柴胡玉米常见病虫害防治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1747"/>
        <w:gridCol w:w="5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10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</w:tc>
        <w:tc>
          <w:tcPr>
            <w:tcW w:w="102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病虫害种类</w:t>
            </w:r>
          </w:p>
        </w:tc>
        <w:tc>
          <w:tcPr>
            <w:tcW w:w="346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防治方法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10" w:type="pct"/>
            <w:vMerge w:val="restar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柴胡</w:t>
            </w:r>
          </w:p>
        </w:tc>
        <w:tc>
          <w:tcPr>
            <w:tcW w:w="102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根腐病</w:t>
            </w:r>
          </w:p>
        </w:tc>
        <w:tc>
          <w:tcPr>
            <w:tcW w:w="346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农业防治：选择未被污染的土壤，使用充分腐熟的农家肥和磷肥，少用氮肥；与禾本科作物轮作；合理施肥，适施氮肥，增施磷钾肥，提高植株抗病能力；及时割薹，减少田间郁闭，注意排水。药剂防治：发病初期用</w:t>
            </w:r>
            <w:r>
              <w:rPr>
                <w:rFonts w:ascii="Times New Roman" w:hAnsi="Times New Roman" w:eastAsia="宋体" w:cs="Times New Roman"/>
                <w:szCs w:val="24"/>
                <w:lang w:bidi="ar"/>
              </w:rPr>
              <w:t>70%甲基托布津700倍液、20%灭锈胺乳油150～200倍液或75%代森锰锌络合物800倍液灌根，每隔7天一次，连灌2～3次。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10" w:type="pct"/>
            <w:vMerge w:val="continue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</w:tc>
        <w:tc>
          <w:tcPr>
            <w:tcW w:w="102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斑枯病</w:t>
            </w:r>
          </w:p>
        </w:tc>
        <w:tc>
          <w:tcPr>
            <w:tcW w:w="346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入冬前彻底清园，及时清除病株残体并集中烧毁或深埋；加强田间管理，及时中耕除草，合理施肥与灌水，雨后及时排水；发病初期用</w:t>
            </w:r>
            <w:r>
              <w:rPr>
                <w:rFonts w:ascii="Times New Roman" w:hAnsi="Times New Roman" w:eastAsia="宋体" w:cs="Times New Roman"/>
                <w:szCs w:val="24"/>
                <w:lang w:bidi="ar"/>
              </w:rPr>
              <w:t>50%多菌灵可湿性粉剂600倍液、75%代森锰锌络合物800倍液、70%甲基托布津可湿性粉剂800～1000倍液等喷雾防治，视病情用药3～4次，间隔10～15天。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10" w:type="pct"/>
            <w:vMerge w:val="continue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</w:tc>
        <w:tc>
          <w:tcPr>
            <w:tcW w:w="102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伞双突野螟</w:t>
            </w: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法氏柴胡宽蛾</w:t>
            </w:r>
          </w:p>
        </w:tc>
        <w:tc>
          <w:tcPr>
            <w:tcW w:w="346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农业防治：采取抽薹后开花前及时割除地上部的茎叶，并集中带出田外，晾干后作柴胡苗出售。如果虫量较少，可以人工捕捉，利用其受惊吓掉落的习性，收集幼虫集中消灭，或直接从柴胡植株上采集幼虫加以消灭。生物防治：用</w:t>
            </w:r>
            <w:r>
              <w:rPr>
                <w:rFonts w:ascii="Times New Roman" w:hAnsi="Times New Roman" w:eastAsia="宋体" w:cs="Times New Roman"/>
                <w:szCs w:val="24"/>
                <w:lang w:bidi="ar"/>
              </w:rPr>
              <w:t>25%灭幼脲悬浮剂2500倍液、25%除虫脲悬浮剂3000倍液、虫酰肼（5%卡死克）乳油2500～3000倍液等喷雾防治。药剂防治</w:t>
            </w: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：</w:t>
            </w:r>
            <w:r>
              <w:rPr>
                <w:rFonts w:ascii="Times New Roman" w:hAnsi="Times New Roman" w:eastAsia="宋体" w:cs="Times New Roman"/>
                <w:szCs w:val="24"/>
                <w:lang w:bidi="ar"/>
              </w:rPr>
              <w:t>选用4.5%高效氯氰菊酯乳油 1000 倍液、或5%辛硫磷乳油1000倍液、5%氯虫苯甲酰胺悬浮剂1000倍液、5%甲胺基阿维菌素苯甲酸盐4000倍液等，于早晨露水干后至10点之前或下午5点半后喷雾防治，首次用药后7～10天再进行一次扫残防治，防治效果均在98%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10" w:type="pct"/>
            <w:vMerge w:val="continue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</w:tc>
        <w:tc>
          <w:tcPr>
            <w:tcW w:w="102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赤条蝽</w:t>
            </w:r>
          </w:p>
        </w:tc>
        <w:tc>
          <w:tcPr>
            <w:tcW w:w="346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农业防治：秋冬季清除柴胡种植田的枯枝落叶及杂草，沤肥或烧掉，消灭部分越冬成虫，于卵期采摘卵块，集中处理。生物防治：初孵幼虫期用</w:t>
            </w:r>
            <w:r>
              <w:rPr>
                <w:rFonts w:ascii="Times New Roman" w:hAnsi="Times New Roman" w:eastAsia="宋体" w:cs="Times New Roman"/>
                <w:szCs w:val="24"/>
                <w:lang w:bidi="ar"/>
              </w:rPr>
              <w:t>0.3%苦参碱植物杀虫剂500～800倍液或15%茚虫威悬浮剂2500倍液等喷雾防治</w:t>
            </w: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。</w:t>
            </w:r>
            <w:r>
              <w:rPr>
                <w:rFonts w:ascii="Times New Roman" w:hAnsi="Times New Roman" w:eastAsia="宋体" w:cs="Times New Roman"/>
                <w:szCs w:val="24"/>
                <w:lang w:bidi="ar"/>
              </w:rPr>
              <w:t>化学防治</w:t>
            </w: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：</w:t>
            </w:r>
            <w:r>
              <w:rPr>
                <w:rFonts w:ascii="Times New Roman" w:hAnsi="Times New Roman" w:eastAsia="宋体" w:cs="Times New Roman"/>
                <w:szCs w:val="24"/>
                <w:lang w:bidi="ar"/>
              </w:rPr>
              <w:t>8～9月在成虫和若虫为害盛期，选用50%辛硫磷乳油1000倍液、4.5%高效氯氰菊酯乳油1500倍液、1.8%阿维菌素乳油1500倍液喷雾防治，高峰期5～7天喷一次，连续防治2～3次，收获前15天停止用药。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10" w:type="pct"/>
            <w:vMerge w:val="restar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玉米</w:t>
            </w:r>
          </w:p>
        </w:tc>
        <w:tc>
          <w:tcPr>
            <w:tcW w:w="102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纹枯病</w:t>
            </w:r>
          </w:p>
        </w:tc>
        <w:tc>
          <w:tcPr>
            <w:tcW w:w="346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  <w:lang w:bidi="ar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用</w:t>
            </w:r>
            <w:r>
              <w:rPr>
                <w:rFonts w:ascii="宋体" w:eastAsia="宋体" w:cs="宋体"/>
                <w:kern w:val="0"/>
                <w:szCs w:val="21"/>
              </w:rPr>
              <w:t>50%</w:t>
            </w:r>
            <w:r>
              <w:rPr>
                <w:rFonts w:hint="eastAsia" w:ascii="宋体" w:eastAsia="宋体" w:cs="宋体"/>
                <w:kern w:val="0"/>
                <w:szCs w:val="21"/>
              </w:rPr>
              <w:t>多菌灵可湿性粉剂</w:t>
            </w:r>
            <w:r>
              <w:rPr>
                <w:rFonts w:ascii="宋体" w:eastAsia="宋体" w:cs="宋体"/>
                <w:kern w:val="0"/>
                <w:szCs w:val="21"/>
              </w:rPr>
              <w:t>500</w:t>
            </w:r>
            <w:r>
              <w:rPr>
                <w:rFonts w:hint="eastAsia" w:ascii="宋体" w:eastAsia="宋体" w:cs="宋体"/>
                <w:kern w:val="0"/>
                <w:szCs w:val="21"/>
              </w:rPr>
              <w:t>倍液或用退菌特可湿性粉剂</w:t>
            </w:r>
            <w:r>
              <w:rPr>
                <w:rFonts w:ascii="宋体" w:eastAsia="宋体" w:cs="宋体"/>
                <w:kern w:val="0"/>
                <w:szCs w:val="21"/>
              </w:rPr>
              <w:t>800</w:t>
            </w:r>
            <w:r>
              <w:rPr>
                <w:rFonts w:hint="eastAsia" w:ascii="宋体" w:eastAsia="宋体" w:cs="宋体"/>
                <w:kern w:val="0"/>
                <w:szCs w:val="21"/>
              </w:rPr>
              <w:t>倍液喷雾防治。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10" w:type="pct"/>
            <w:vMerge w:val="continue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</w:tc>
        <w:tc>
          <w:tcPr>
            <w:tcW w:w="102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锈病</w:t>
            </w:r>
          </w:p>
        </w:tc>
        <w:tc>
          <w:tcPr>
            <w:tcW w:w="346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  <w:lang w:bidi="ar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用</w:t>
            </w:r>
            <w:r>
              <w:rPr>
                <w:rFonts w:ascii="宋体" w:eastAsia="宋体" w:cs="宋体"/>
                <w:kern w:val="0"/>
                <w:szCs w:val="21"/>
              </w:rPr>
              <w:t>50%</w:t>
            </w:r>
            <w:r>
              <w:rPr>
                <w:rFonts w:hint="eastAsia" w:ascii="宋体" w:eastAsia="宋体" w:cs="宋体"/>
                <w:kern w:val="0"/>
                <w:szCs w:val="21"/>
              </w:rPr>
              <w:t>多菌灵可湿性粉剂</w:t>
            </w:r>
            <w:r>
              <w:rPr>
                <w:rFonts w:ascii="宋体" w:eastAsia="宋体" w:cs="宋体"/>
                <w:kern w:val="0"/>
                <w:szCs w:val="21"/>
              </w:rPr>
              <w:t>500</w:t>
            </w:r>
            <w:r>
              <w:rPr>
                <w:rFonts w:hint="eastAsia" w:ascii="宋体" w:eastAsia="宋体" w:cs="宋体"/>
                <w:kern w:val="0"/>
                <w:szCs w:val="21"/>
              </w:rPr>
              <w:t>倍液或用退菌特可湿性粉剂</w:t>
            </w:r>
            <w:r>
              <w:rPr>
                <w:rFonts w:ascii="宋体" w:eastAsia="宋体" w:cs="宋体"/>
                <w:kern w:val="0"/>
                <w:szCs w:val="21"/>
              </w:rPr>
              <w:t>800</w:t>
            </w:r>
            <w:r>
              <w:rPr>
                <w:rFonts w:hint="eastAsia" w:ascii="宋体" w:eastAsia="宋体" w:cs="宋体"/>
                <w:kern w:val="0"/>
                <w:szCs w:val="21"/>
              </w:rPr>
              <w:t>倍液喷雾防治。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10" w:type="pct"/>
            <w:vMerge w:val="continue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</w:tc>
        <w:tc>
          <w:tcPr>
            <w:tcW w:w="102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叶螨</w:t>
            </w:r>
          </w:p>
        </w:tc>
        <w:tc>
          <w:tcPr>
            <w:tcW w:w="346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发生初期可用阿维菌素乳油，或者克螨特乳油等喷雾。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10" w:type="pct"/>
            <w:vMerge w:val="continue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</w:p>
        </w:tc>
        <w:tc>
          <w:tcPr>
            <w:tcW w:w="102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蚜虫</w:t>
            </w:r>
          </w:p>
        </w:tc>
        <w:tc>
          <w:tcPr>
            <w:tcW w:w="3465" w:type="pct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bidi="ar"/>
              </w:rPr>
              <w:t>发生初期可在田间挂黄板进行诱杀，利用瓢虫等天敌进行防治。</w:t>
            </w:r>
          </w:p>
        </w:tc>
      </w:tr>
    </w:tbl>
    <w:p>
      <w:pPr>
        <w:widowControl/>
        <w:spacing w:before="312" w:beforeLines="100" w:after="312" w:afterLines="100"/>
        <w:outlineLvl w:val="1"/>
        <w:rPr>
          <w:rFonts w:ascii="黑体" w:hAnsi="黑体" w:eastAsia="黑体" w:cs="Times New Roman"/>
          <w:kern w:val="0"/>
          <w:szCs w:val="20"/>
        </w:rPr>
      </w:pPr>
      <w:r>
        <w:rPr>
          <w:rFonts w:ascii="黑体" w:hAnsi="黑体" w:eastAsia="黑体" w:cs="Times New Roman"/>
          <w:kern w:val="0"/>
          <w:szCs w:val="20"/>
        </w:rPr>
        <w:t>6.5  柴胡收获与加工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20" w:firstLineChars="200"/>
        <w:rPr>
          <w:rFonts w:ascii="Times New Roman" w:hAnsi="Times New Roman" w:eastAsia="宋体" w:cs="Times New Roman"/>
          <w:szCs w:val="24"/>
          <w:lang w:bidi="ar"/>
        </w:rPr>
      </w:pPr>
      <w:r>
        <w:rPr>
          <w:rFonts w:ascii="Times New Roman" w:hAnsi="Times New Roman" w:eastAsia="宋体" w:cs="Times New Roman"/>
          <w:szCs w:val="24"/>
          <w:lang w:bidi="ar"/>
        </w:rPr>
        <w:t>柴胡种植第</w:t>
      </w:r>
      <w:r>
        <w:rPr>
          <w:rFonts w:ascii="Times New Roman" w:hAnsi="Times New Roman" w:eastAsia="宋体" w:cs="Times New Roman"/>
          <w:color w:val="000000"/>
          <w:szCs w:val="24"/>
          <w:lang w:bidi="ar"/>
        </w:rPr>
        <w:t>二</w:t>
      </w:r>
      <w:r>
        <w:rPr>
          <w:rFonts w:ascii="Times New Roman" w:hAnsi="Times New Roman" w:eastAsia="宋体" w:cs="Times New Roman"/>
          <w:szCs w:val="24"/>
          <w:lang w:bidi="ar"/>
        </w:rPr>
        <w:t>年秋季上部茎叶干枯后，到次年春季返青前收获。挖出根部，留芦头0.5</w:t>
      </w:r>
      <w:r>
        <w:rPr>
          <w:rFonts w:ascii="Times New Roman" w:hAnsi="Times New Roman" w:eastAsia="宋体" w:cs="Times New Roman"/>
          <w:kern w:val="0"/>
          <w:szCs w:val="20"/>
        </w:rPr>
        <w:t>~</w:t>
      </w:r>
      <w:r>
        <w:rPr>
          <w:rFonts w:ascii="Times New Roman" w:hAnsi="Times New Roman" w:eastAsia="宋体" w:cs="Times New Roman"/>
          <w:szCs w:val="24"/>
          <w:lang w:bidi="ar"/>
        </w:rPr>
        <w:t>1 cm，剪去干枯茎叶，晾至半干，分级捋顺捆把，再晾至</w:t>
      </w:r>
      <w:r>
        <w:rPr>
          <w:rFonts w:hint="eastAsia" w:ascii="Times New Roman" w:hAnsi="Times New Roman" w:eastAsia="宋体" w:cs="Times New Roman"/>
          <w:szCs w:val="24"/>
          <w:lang w:bidi="ar"/>
        </w:rPr>
        <w:t>含水量约1</w:t>
      </w:r>
      <w:r>
        <w:rPr>
          <w:rFonts w:ascii="Times New Roman" w:hAnsi="Times New Roman" w:eastAsia="宋体" w:cs="Times New Roman"/>
          <w:szCs w:val="24"/>
          <w:lang w:bidi="ar"/>
        </w:rPr>
        <w:t>0</w:t>
      </w:r>
      <w:r>
        <w:rPr>
          <w:rFonts w:hint="eastAsia" w:ascii="Times New Roman" w:hAnsi="Times New Roman" w:eastAsia="宋体" w:cs="Times New Roman"/>
          <w:szCs w:val="24"/>
          <w:lang w:bidi="ar"/>
        </w:rPr>
        <w:t>%</w:t>
      </w:r>
      <w:r>
        <w:rPr>
          <w:rFonts w:ascii="Times New Roman" w:hAnsi="Times New Roman" w:eastAsia="宋体" w:cs="Times New Roman"/>
          <w:szCs w:val="24"/>
          <w:lang w:bidi="ar"/>
        </w:rPr>
        <w:t>即可</w:t>
      </w:r>
      <w:r>
        <w:rPr>
          <w:rFonts w:hint="eastAsia" w:ascii="Times New Roman" w:hAnsi="Times New Roman" w:eastAsia="宋体" w:cs="Times New Roman"/>
          <w:szCs w:val="24"/>
          <w:lang w:bidi="ar"/>
        </w:rPr>
        <w:t>。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黑体" w:hAnsi="黑体" w:eastAsia="黑体" w:cs="黑体"/>
          <w:kern w:val="0"/>
          <w:szCs w:val="21"/>
        </w:rPr>
      </w:pPr>
      <w:r>
        <w:rPr>
          <w:rFonts w:ascii="黑体" w:hAnsi="黑体" w:eastAsia="黑体" w:cs="Times New Roman"/>
          <w:szCs w:val="24"/>
          <w:lang w:bidi="ar"/>
        </w:rPr>
        <w:t xml:space="preserve">7 </w:t>
      </w:r>
      <w:r>
        <w:rPr>
          <w:rFonts w:ascii="黑体" w:hAnsi="黑体" w:eastAsia="黑体" w:cs="黑体"/>
          <w:kern w:val="0"/>
          <w:szCs w:val="21"/>
        </w:rPr>
        <w:t xml:space="preserve"> </w:t>
      </w:r>
      <w:r>
        <w:rPr>
          <w:rFonts w:hint="eastAsia" w:ascii="黑体" w:hAnsi="黑体" w:eastAsia="黑体" w:cs="黑体"/>
          <w:kern w:val="0"/>
          <w:szCs w:val="21"/>
        </w:rPr>
        <w:t>生产档案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jc w:val="left"/>
        <w:rPr>
          <w:rFonts w:ascii="宋体" w:eastAsia="宋体" w:cs="宋体"/>
          <w:kern w:val="0"/>
          <w:szCs w:val="21"/>
        </w:rPr>
      </w:pPr>
      <w:r>
        <w:rPr>
          <w:rFonts w:hint="eastAsia" w:ascii="宋体" w:eastAsia="宋体" w:cs="宋体"/>
          <w:kern w:val="0"/>
          <w:szCs w:val="21"/>
        </w:rPr>
        <w:t>应建立生产档案，档案内容主要包括整地方式、良种选择、播种时间、田间管理、作物生长情况和劳动用工情况等。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20" w:firstLineChars="200"/>
        <w:jc w:val="center"/>
        <w:rPr>
          <w:rFonts w:ascii="Times New Roman" w:hAnsi="Times New Roman" w:eastAsia="宋体" w:cs="Times New Roman"/>
          <w:szCs w:val="24"/>
          <w:lang w:bidi="ar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20" w:firstLineChars="200"/>
        <w:jc w:val="center"/>
        <w:rPr>
          <w:rFonts w:ascii="黑体" w:hAnsi="Times New Roman" w:eastAsia="黑体" w:cs="Times New Roman"/>
          <w:kern w:val="0"/>
          <w:szCs w:val="20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20" w:firstLineChars="200"/>
        <w:jc w:val="center"/>
        <w:rPr>
          <w:rFonts w:ascii="黑体" w:hAnsi="Times New Roman" w:eastAsia="黑体" w:cs="Times New Roman"/>
          <w:kern w:val="0"/>
          <w:szCs w:val="20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20" w:firstLineChars="200"/>
        <w:jc w:val="center"/>
        <w:rPr>
          <w:rFonts w:ascii="黑体" w:hAnsi="Times New Roman" w:eastAsia="黑体" w:cs="Times New Roman"/>
          <w:kern w:val="0"/>
          <w:szCs w:val="20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20" w:firstLineChars="200"/>
        <w:jc w:val="center"/>
        <w:rPr>
          <w:rFonts w:ascii="黑体" w:hAnsi="Times New Roman" w:eastAsia="黑体" w:cs="Times New Roman"/>
          <w:kern w:val="0"/>
          <w:szCs w:val="20"/>
        </w:rPr>
      </w:pPr>
      <w:r>
        <w:rPr>
          <w:rFonts w:hint="eastAsia" w:ascii="黑体" w:hAnsi="Times New Roman" w:eastAsia="黑体" w:cs="Times New Roman"/>
          <w:kern w:val="0"/>
          <w:szCs w:val="20"/>
        </w:rPr>
        <w:t>（资料性附录A）</w:t>
      </w:r>
      <w:r>
        <w:rPr>
          <w:rFonts w:ascii="黑体" w:hAnsi="Times New Roman" w:eastAsia="黑体" w:cs="Times New Roman"/>
          <w:kern w:val="0"/>
          <w:szCs w:val="20"/>
        </w:rPr>
        <w:br w:type="textWrapping"/>
      </w:r>
      <w:r>
        <w:rPr>
          <w:rFonts w:hint="eastAsia" w:ascii="黑体" w:hAnsi="Times New Roman" w:eastAsia="黑体" w:cs="Times New Roman"/>
          <w:kern w:val="0"/>
          <w:szCs w:val="20"/>
        </w:rPr>
        <w:t xml:space="preserve"> 柴胡与玉米套种种植方式及规格示意图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20" w:firstLineChars="200"/>
        <w:jc w:val="center"/>
        <w:rPr>
          <w:rFonts w:ascii="黑体" w:hAnsi="Times New Roman" w:eastAsia="黑体" w:cs="Times New Roman"/>
          <w:kern w:val="0"/>
          <w:szCs w:val="20"/>
        </w:rPr>
      </w:pPr>
      <w:r>
        <w:drawing>
          <wp:inline distT="0" distB="0" distL="0" distR="0">
            <wp:extent cx="3844290" cy="3599815"/>
            <wp:effectExtent l="0" t="0" r="3810" b="635"/>
            <wp:docPr id="4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true" noChangeArrowheads="true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4382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after="312" w:afterLines="100"/>
        <w:ind w:firstLine="420" w:firstLineChars="200"/>
        <w:rPr>
          <w:rFonts w:ascii="宋体" w:hAnsi="宋体" w:eastAsia="宋体" w:cs="Times New Roman"/>
          <w:kern w:val="0"/>
          <w:szCs w:val="20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after="312" w:afterLines="100"/>
        <w:ind w:firstLine="420" w:firstLineChars="200"/>
        <w:jc w:val="center"/>
        <w:rPr>
          <w:rFonts w:ascii="宋体" w:hAnsi="Times New Roman" w:eastAsia="宋体" w:cs="Times New Roman"/>
          <w:kern w:val="0"/>
          <w:szCs w:val="20"/>
        </w:rPr>
      </w:pPr>
    </w:p>
    <w:p>
      <w:pPr>
        <w:numPr>
          <w:ilvl w:val="1"/>
          <w:numId w:val="0"/>
        </w:numPr>
        <w:tabs>
          <w:tab w:val="left" w:pos="363"/>
        </w:tabs>
        <w:spacing w:before="156" w:beforeLines="50" w:after="156" w:afterLines="50"/>
        <w:jc w:val="center"/>
        <w:rPr>
          <w:rFonts w:ascii="黑体" w:hAnsi="Times New Roman" w:eastAsia="黑体" w:cs="Times New Roman"/>
          <w:szCs w:val="21"/>
        </w:rPr>
      </w:pPr>
      <w:r>
        <w:rPr>
          <w:rFonts w:hint="eastAsia" w:ascii="黑体" w:hAnsi="Times New Roman" w:eastAsia="黑体" w:cs="Times New Roman"/>
          <w:szCs w:val="21"/>
        </w:rPr>
        <w:t xml:space="preserve"> </w:t>
      </w:r>
      <w:r>
        <w:rPr>
          <w:rFonts w:ascii="黑体" w:hAnsi="Times New Roman" w:eastAsia="黑体" w:cs="Times New Roman"/>
          <w:szCs w:val="21"/>
        </w:rPr>
        <w:t xml:space="preserve">      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ascii="宋体" w:hAnsi="Times New Roman" w:eastAsia="宋体" w:cs="Times New Roman"/>
          <w:kern w:val="0"/>
          <w:szCs w:val="20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/>
        <w:rPr>
          <w:rFonts w:ascii="Times New Roman" w:hAnsi="Times New Roman" w:eastAsia="宋体" w:cs="Times New Roman"/>
          <w:szCs w:val="24"/>
          <w:lang w:bidi="ar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/>
        <w:rPr>
          <w:rFonts w:ascii="Times New Roman" w:hAnsi="Times New Roman" w:eastAsia="宋体" w:cs="Times New Roman"/>
          <w:szCs w:val="24"/>
          <w:lang w:bidi="ar"/>
        </w:rPr>
      </w:pPr>
    </w:p>
    <w:p>
      <w:pPr>
        <w:keepNext/>
        <w:widowControl/>
        <w:shd w:val="clear" w:color="FFFFFF" w:fill="FFFFFF"/>
        <w:tabs>
          <w:tab w:val="left" w:pos="360"/>
          <w:tab w:val="left" w:pos="6405"/>
        </w:tabs>
        <w:spacing w:before="640" w:after="280"/>
        <w:outlineLvl w:val="0"/>
        <w:rPr>
          <w:rFonts w:ascii="Times New Roman" w:hAnsi="Times New Roman" w:eastAsia="宋体" w:cs="Times New Roman"/>
          <w:color w:val="FF0000"/>
          <w:szCs w:val="24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5041166F"/>
    <w:multiLevelType w:val="multilevel"/>
    <w:tmpl w:val="5041166F"/>
    <w:lvl w:ilvl="0" w:tentative="0">
      <w:start w:val="1"/>
      <w:numFmt w:val="decimal"/>
      <w:pStyle w:val="11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pStyle w:val="12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2F5"/>
    <w:rsid w:val="00031554"/>
    <w:rsid w:val="00047609"/>
    <w:rsid w:val="000D5064"/>
    <w:rsid w:val="00224898"/>
    <w:rsid w:val="00247312"/>
    <w:rsid w:val="0026466E"/>
    <w:rsid w:val="00270D0A"/>
    <w:rsid w:val="002B5946"/>
    <w:rsid w:val="00314626"/>
    <w:rsid w:val="00343135"/>
    <w:rsid w:val="00343C46"/>
    <w:rsid w:val="003A3E85"/>
    <w:rsid w:val="004065FD"/>
    <w:rsid w:val="00445C69"/>
    <w:rsid w:val="00480B25"/>
    <w:rsid w:val="004F4FB4"/>
    <w:rsid w:val="00504512"/>
    <w:rsid w:val="00524DFF"/>
    <w:rsid w:val="00642E35"/>
    <w:rsid w:val="00674D46"/>
    <w:rsid w:val="006E0218"/>
    <w:rsid w:val="006F5EA4"/>
    <w:rsid w:val="007063D5"/>
    <w:rsid w:val="00721B20"/>
    <w:rsid w:val="00754B75"/>
    <w:rsid w:val="007E46FF"/>
    <w:rsid w:val="008139D9"/>
    <w:rsid w:val="008714C2"/>
    <w:rsid w:val="00875DA5"/>
    <w:rsid w:val="00880905"/>
    <w:rsid w:val="008A00C8"/>
    <w:rsid w:val="008F27F1"/>
    <w:rsid w:val="00912F00"/>
    <w:rsid w:val="00AC5F55"/>
    <w:rsid w:val="00AF09F5"/>
    <w:rsid w:val="00B2214A"/>
    <w:rsid w:val="00B42AA6"/>
    <w:rsid w:val="00B702F5"/>
    <w:rsid w:val="00B7234B"/>
    <w:rsid w:val="00BA04BB"/>
    <w:rsid w:val="00C72855"/>
    <w:rsid w:val="00DB7772"/>
    <w:rsid w:val="00DC214B"/>
    <w:rsid w:val="00E171F8"/>
    <w:rsid w:val="00E2358F"/>
    <w:rsid w:val="00E74727"/>
    <w:rsid w:val="00EA722F"/>
    <w:rsid w:val="00ED6292"/>
    <w:rsid w:val="00EE7BDA"/>
    <w:rsid w:val="00F1734B"/>
    <w:rsid w:val="00FE5F1F"/>
    <w:rsid w:val="00FF4132"/>
    <w:rsid w:val="FAEE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9">
    <w:name w:val="段"/>
    <w:link w:val="10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10">
    <w:name w:val="段 Char"/>
    <w:link w:val="9"/>
    <w:qFormat/>
    <w:uiPriority w:val="0"/>
    <w:rPr>
      <w:rFonts w:ascii="宋体" w:hAnsi="Times New Roman" w:eastAsia="宋体" w:cs="Times New Roman"/>
      <w:kern w:val="0"/>
      <w:szCs w:val="20"/>
    </w:rPr>
  </w:style>
  <w:style w:type="paragraph" w:customStyle="1" w:styleId="11">
    <w:name w:val="章标题"/>
    <w:next w:val="9"/>
    <w:qFormat/>
    <w:uiPriority w:val="0"/>
    <w:pPr>
      <w:numPr>
        <w:ilvl w:val="0"/>
        <w:numId w:val="1"/>
      </w:numPr>
      <w:spacing w:before="312" w:beforeLines="100" w:after="312" w:afterLines="100"/>
      <w:jc w:val="both"/>
      <w:outlineLvl w:val="1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12">
    <w:name w:val="一级条标题"/>
    <w:next w:val="9"/>
    <w:qFormat/>
    <w:uiPriority w:val="0"/>
    <w:pPr>
      <w:numPr>
        <w:ilvl w:val="1"/>
        <w:numId w:val="1"/>
      </w:numPr>
      <w:spacing w:before="156" w:beforeLines="50" w:after="156" w:afterLines="50"/>
      <w:outlineLvl w:val="2"/>
    </w:pPr>
    <w:rPr>
      <w:rFonts w:ascii="黑体" w:hAnsi="Times New Roman" w:eastAsia="黑体" w:cs="Times New Roman"/>
      <w:kern w:val="0"/>
      <w:sz w:val="21"/>
      <w:szCs w:val="21"/>
      <w:lang w:val="en-US" w:eastAsia="zh-CN" w:bidi="ar-SA"/>
    </w:rPr>
  </w:style>
  <w:style w:type="paragraph" w:customStyle="1" w:styleId="13">
    <w:name w:val="目次、标准名称标题"/>
    <w:basedOn w:val="1"/>
    <w:next w:val="9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hAnsi="Times New Roman" w:eastAsia="黑体" w:cs="Times New Roman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462</Words>
  <Characters>2637</Characters>
  <Lines>21</Lines>
  <Paragraphs>6</Paragraphs>
  <TotalTime>190</TotalTime>
  <ScaleCrop>false</ScaleCrop>
  <LinksUpToDate>false</LinksUpToDate>
  <CharactersWithSpaces>3093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2021-09-23T11:37:00Z</dcterms:created>
  <dc:creator>韩 晓伟</dc:creator>
  <cp:lastModifiedBy>刘玉</cp:lastModifiedBy>
  <dcterms:modified xsi:type="dcterms:W3CDTF">2021-12-30T14:27:46Z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