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ind w:left="93"/>
        <w:jc w:val="center"/>
        <w:rPr>
          <w:rFonts w:hint="eastAsia" w:ascii="方正小标宋简体" w:eastAsia="方正小标宋简体"/>
          <w:color w:val="000000"/>
          <w:kern w:val="0"/>
          <w:sz w:val="40"/>
        </w:rPr>
      </w:pPr>
      <w:r>
        <w:rPr>
          <w:rFonts w:hint="eastAsia" w:ascii="方正小标宋简体" w:eastAsia="方正小标宋简体"/>
          <w:color w:val="000000"/>
          <w:kern w:val="0"/>
          <w:sz w:val="40"/>
        </w:rPr>
        <w:t>河北省市场监督管理系统行政许可审批权限层级划分目录</w:t>
      </w:r>
    </w:p>
    <w:p>
      <w:pPr>
        <w:widowControl/>
        <w:ind w:left="93"/>
        <w:jc w:val="center"/>
        <w:rPr>
          <w:rFonts w:hint="eastAsia" w:ascii="方正小标宋简体" w:eastAsia="方正小标宋简体"/>
          <w:color w:val="000000"/>
          <w:kern w:val="0"/>
          <w:sz w:val="40"/>
        </w:rPr>
      </w:pPr>
      <w:bookmarkStart w:id="0" w:name="_GoBack"/>
      <w:bookmarkEnd w:id="0"/>
    </w:p>
    <w:tbl>
      <w:tblPr>
        <w:tblStyle w:val="8"/>
        <w:tblW w:w="5000" w:type="pct"/>
        <w:jc w:val="center"/>
        <w:tblLayout w:type="autofit"/>
        <w:tblCellMar>
          <w:top w:w="15" w:type="dxa"/>
          <w:left w:w="108" w:type="dxa"/>
          <w:bottom w:w="15" w:type="dxa"/>
          <w:right w:w="108" w:type="dxa"/>
        </w:tblCellMar>
      </w:tblPr>
      <w:tblGrid>
        <w:gridCol w:w="610"/>
        <w:gridCol w:w="2182"/>
        <w:gridCol w:w="1266"/>
        <w:gridCol w:w="4348"/>
        <w:gridCol w:w="2922"/>
        <w:gridCol w:w="1630"/>
        <w:gridCol w:w="592"/>
      </w:tblGrid>
      <w:tr>
        <w:tblPrEx>
          <w:tblCellMar>
            <w:top w:w="15" w:type="dxa"/>
            <w:left w:w="108" w:type="dxa"/>
            <w:bottom w:w="15" w:type="dxa"/>
            <w:right w:w="108" w:type="dxa"/>
          </w:tblCellMar>
        </w:tblPrEx>
        <w:trPr>
          <w:trHeight w:val="340" w:hRule="atLeast"/>
          <w:tblHeader/>
          <w:jc w:val="center"/>
        </w:trPr>
        <w:tc>
          <w:tcPr>
            <w:tcW w:w="225"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黑体" w:hAnsi="黑体" w:eastAsia="黑体"/>
                <w:kern w:val="0"/>
                <w:sz w:val="21"/>
                <w:szCs w:val="21"/>
              </w:rPr>
            </w:pPr>
            <w:r>
              <w:rPr>
                <w:rFonts w:hint="eastAsia" w:ascii="黑体" w:hAnsi="黑体" w:eastAsia="黑体"/>
                <w:kern w:val="0"/>
                <w:sz w:val="21"/>
                <w:szCs w:val="21"/>
              </w:rPr>
              <w:t>序号</w:t>
            </w:r>
          </w:p>
        </w:tc>
        <w:tc>
          <w:tcPr>
            <w:tcW w:w="805"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黑体" w:hAnsi="黑体" w:eastAsia="黑体"/>
                <w:kern w:val="0"/>
                <w:sz w:val="21"/>
                <w:szCs w:val="21"/>
              </w:rPr>
            </w:pPr>
            <w:r>
              <w:rPr>
                <w:rFonts w:hint="eastAsia" w:ascii="黑体" w:hAnsi="黑体" w:eastAsia="黑体"/>
                <w:kern w:val="0"/>
                <w:sz w:val="21"/>
                <w:szCs w:val="21"/>
              </w:rPr>
              <w:t>事项名称</w:t>
            </w:r>
          </w:p>
        </w:tc>
        <w:tc>
          <w:tcPr>
            <w:tcW w:w="467"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黑体" w:hAnsi="黑体" w:eastAsia="黑体"/>
                <w:kern w:val="0"/>
                <w:sz w:val="21"/>
                <w:szCs w:val="21"/>
              </w:rPr>
            </w:pPr>
            <w:r>
              <w:rPr>
                <w:rFonts w:hint="eastAsia" w:ascii="黑体" w:hAnsi="黑体" w:eastAsia="黑体"/>
                <w:kern w:val="0"/>
                <w:sz w:val="21"/>
                <w:szCs w:val="21"/>
              </w:rPr>
              <w:t>行使层级</w:t>
            </w:r>
          </w:p>
        </w:tc>
        <w:tc>
          <w:tcPr>
            <w:tcW w:w="1604"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黑体" w:hAnsi="黑体" w:eastAsia="黑体"/>
                <w:kern w:val="0"/>
                <w:sz w:val="21"/>
                <w:szCs w:val="21"/>
              </w:rPr>
            </w:pPr>
            <w:r>
              <w:rPr>
                <w:rFonts w:hint="eastAsia" w:ascii="黑体" w:hAnsi="黑体" w:eastAsia="黑体"/>
                <w:kern w:val="0"/>
                <w:sz w:val="21"/>
                <w:szCs w:val="21"/>
              </w:rPr>
              <w:t>分级审批权限</w:t>
            </w:r>
          </w:p>
        </w:tc>
        <w:tc>
          <w:tcPr>
            <w:tcW w:w="1078" w:type="pct"/>
            <w:tcBorders>
              <w:top w:val="single" w:color="000000" w:sz="4" w:space="0"/>
              <w:left w:val="single" w:color="000000" w:sz="4" w:space="0"/>
              <w:bottom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黑体" w:hAnsi="黑体" w:eastAsia="黑体"/>
                <w:kern w:val="0"/>
                <w:sz w:val="21"/>
                <w:szCs w:val="21"/>
              </w:rPr>
            </w:pPr>
            <w:r>
              <w:rPr>
                <w:rFonts w:hint="eastAsia" w:ascii="黑体" w:hAnsi="黑体" w:eastAsia="黑体"/>
                <w:kern w:val="0"/>
                <w:sz w:val="21"/>
                <w:szCs w:val="21"/>
              </w:rPr>
              <w:t>层级权限划分依据</w:t>
            </w:r>
          </w:p>
        </w:tc>
        <w:tc>
          <w:tcPr>
            <w:tcW w:w="601"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黑体" w:hAnsi="黑体" w:eastAsia="黑体"/>
                <w:kern w:val="0"/>
                <w:sz w:val="21"/>
                <w:szCs w:val="21"/>
              </w:rPr>
            </w:pPr>
            <w:r>
              <w:rPr>
                <w:rFonts w:hint="eastAsia" w:ascii="黑体" w:hAnsi="黑体" w:eastAsia="黑体"/>
                <w:kern w:val="0"/>
                <w:sz w:val="21"/>
                <w:szCs w:val="21"/>
              </w:rPr>
              <w:t>终审机关</w:t>
            </w:r>
          </w:p>
        </w:tc>
        <w:tc>
          <w:tcPr>
            <w:tcW w:w="218" w:type="pct"/>
            <w:tcBorders>
              <w:top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黑体" w:hAnsi="黑体" w:eastAsia="黑体"/>
                <w:kern w:val="0"/>
                <w:sz w:val="21"/>
                <w:szCs w:val="21"/>
              </w:rPr>
            </w:pPr>
            <w:r>
              <w:rPr>
                <w:rFonts w:hint="eastAsia" w:ascii="黑体" w:hAnsi="黑体" w:eastAsia="黑体"/>
                <w:kern w:val="0"/>
                <w:sz w:val="21"/>
                <w:szCs w:val="21"/>
              </w:rPr>
              <w:t>备注</w:t>
            </w:r>
          </w:p>
        </w:tc>
      </w:tr>
      <w:tr>
        <w:tblPrEx>
          <w:tblCellMar>
            <w:top w:w="15" w:type="dxa"/>
            <w:left w:w="108" w:type="dxa"/>
            <w:bottom w:w="15" w:type="dxa"/>
            <w:right w:w="108" w:type="dxa"/>
          </w:tblCellMar>
        </w:tblPrEx>
        <w:trPr>
          <w:trHeight w:val="1077" w:hRule="atLeast"/>
          <w:jc w:val="center"/>
        </w:trPr>
        <w:tc>
          <w:tcPr>
            <w:tcW w:w="225" w:type="pct"/>
            <w:vMerge w:val="restar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525</w:t>
            </w:r>
          </w:p>
        </w:tc>
        <w:tc>
          <w:tcPr>
            <w:tcW w:w="805" w:type="pct"/>
            <w:vMerge w:val="restart"/>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外国企业常驻代表机构登记(设立、变更、注销)</w:t>
            </w:r>
          </w:p>
        </w:tc>
        <w:tc>
          <w:tcPr>
            <w:tcW w:w="467" w:type="pct"/>
            <w:vMerge w:val="restart"/>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省级、市级</w:t>
            </w:r>
          </w:p>
        </w:tc>
        <w:tc>
          <w:tcPr>
            <w:tcW w:w="1604"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省级负责涉及前置许可的外国企业常驻代表机构登记(设立、变更、注销)。</w:t>
            </w:r>
          </w:p>
        </w:tc>
        <w:tc>
          <w:tcPr>
            <w:tcW w:w="1078" w:type="pct"/>
            <w:vMerge w:val="restart"/>
            <w:tcBorders>
              <w:top w:val="single" w:color="000000" w:sz="4" w:space="0"/>
              <w:left w:val="single" w:color="000000" w:sz="4" w:space="0"/>
              <w:bottom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hint="eastAsia" w:asciiTheme="minorEastAsia" w:hAnsiTheme="minorEastAsia" w:eastAsiaTheme="minorEastAsia"/>
                <w:kern w:val="0"/>
                <w:sz w:val="21"/>
                <w:szCs w:val="21"/>
                <w:lang w:eastAsia="zh-CN"/>
              </w:rPr>
            </w:pPr>
            <w:r>
              <w:rPr>
                <w:rFonts w:hint="eastAsia" w:asciiTheme="minorEastAsia" w:hAnsiTheme="minorEastAsia" w:eastAsiaTheme="minorEastAsia"/>
                <w:kern w:val="0"/>
                <w:sz w:val="21"/>
                <w:szCs w:val="21"/>
              </w:rPr>
              <w:t>1.《外国企业常驻代表机构登记管理条例》第五条；</w:t>
            </w:r>
          </w:p>
          <w:p>
            <w:pPr>
              <w:widowControl/>
              <w:adjustRightInd w:val="0"/>
              <w:snapToGrid w:val="0"/>
              <w:rPr>
                <w:rFonts w:hint="eastAsia" w:asciiTheme="minorEastAsia" w:hAnsiTheme="minorEastAsia" w:eastAsiaTheme="minorEastAsia"/>
                <w:kern w:val="0"/>
                <w:sz w:val="21"/>
                <w:szCs w:val="21"/>
                <w:lang w:eastAsia="zh-CN"/>
              </w:rPr>
            </w:pPr>
            <w:r>
              <w:rPr>
                <w:rFonts w:hint="eastAsia" w:asciiTheme="minorEastAsia" w:hAnsiTheme="minorEastAsia" w:eastAsiaTheme="minorEastAsia"/>
                <w:kern w:val="0"/>
                <w:sz w:val="21"/>
                <w:szCs w:val="21"/>
              </w:rPr>
              <w:t>2.《国务院关于取消和下放一批行政审批项目等事项的决定》附件1第84项；</w:t>
            </w:r>
          </w:p>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3.《外商投资企业授权登记管理办法》第三条。</w:t>
            </w:r>
          </w:p>
        </w:tc>
        <w:tc>
          <w:tcPr>
            <w:tcW w:w="601" w:type="pct"/>
            <w:vMerge w:val="restar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国家市场监管总局授权的市级及部分县级市场监管部门，雄安新区公共服务局</w:t>
            </w:r>
          </w:p>
        </w:tc>
        <w:tc>
          <w:tcPr>
            <w:tcW w:w="218" w:type="pct"/>
            <w:vMerge w:val="restart"/>
            <w:tcBorders>
              <w:top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p>
        </w:tc>
      </w:tr>
      <w:tr>
        <w:tblPrEx>
          <w:tblCellMar>
            <w:top w:w="15" w:type="dxa"/>
            <w:left w:w="108" w:type="dxa"/>
            <w:bottom w:w="15" w:type="dxa"/>
            <w:right w:w="108" w:type="dxa"/>
          </w:tblCellMar>
        </w:tblPrEx>
        <w:trPr>
          <w:trHeight w:val="1077" w:hRule="atLeast"/>
          <w:jc w:val="center"/>
        </w:trPr>
        <w:tc>
          <w:tcPr>
            <w:tcW w:w="225" w:type="pct"/>
            <w:vMerge w:val="continue"/>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left"/>
              <w:rPr>
                <w:rFonts w:asciiTheme="minorEastAsia" w:hAnsiTheme="minorEastAsia" w:eastAsiaTheme="minorEastAsia"/>
                <w:kern w:val="0"/>
                <w:sz w:val="21"/>
                <w:szCs w:val="21"/>
              </w:rPr>
            </w:pPr>
          </w:p>
        </w:tc>
        <w:tc>
          <w:tcPr>
            <w:tcW w:w="805" w:type="pct"/>
            <w:vMerge w:val="continue"/>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p>
        </w:tc>
        <w:tc>
          <w:tcPr>
            <w:tcW w:w="467" w:type="pct"/>
            <w:vMerge w:val="continue"/>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jc w:val="left"/>
              <w:rPr>
                <w:rFonts w:asciiTheme="minorEastAsia" w:hAnsiTheme="minorEastAsia" w:eastAsiaTheme="minorEastAsia"/>
                <w:kern w:val="0"/>
                <w:sz w:val="21"/>
                <w:szCs w:val="21"/>
              </w:rPr>
            </w:pPr>
          </w:p>
        </w:tc>
        <w:tc>
          <w:tcPr>
            <w:tcW w:w="1604"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市级负责不涉及前置许可的外国企业常驻代表机构登记(设立、变更、注销)。</w:t>
            </w:r>
          </w:p>
        </w:tc>
        <w:tc>
          <w:tcPr>
            <w:tcW w:w="1078" w:type="pct"/>
            <w:vMerge w:val="continue"/>
            <w:tcBorders>
              <w:top w:val="single" w:color="000000" w:sz="4" w:space="0"/>
              <w:left w:val="single" w:color="000000" w:sz="4" w:space="0"/>
              <w:bottom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p>
        </w:tc>
        <w:tc>
          <w:tcPr>
            <w:tcW w:w="601" w:type="pct"/>
            <w:vMerge w:val="continue"/>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p>
        </w:tc>
        <w:tc>
          <w:tcPr>
            <w:tcW w:w="218" w:type="pct"/>
            <w:vMerge w:val="continue"/>
            <w:tcBorders>
              <w:top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left"/>
              <w:rPr>
                <w:rFonts w:asciiTheme="minorEastAsia" w:hAnsiTheme="minorEastAsia" w:eastAsiaTheme="minorEastAsia"/>
                <w:kern w:val="0"/>
                <w:sz w:val="21"/>
                <w:szCs w:val="21"/>
              </w:rPr>
            </w:pPr>
          </w:p>
        </w:tc>
      </w:tr>
      <w:tr>
        <w:tblPrEx>
          <w:tblCellMar>
            <w:top w:w="15" w:type="dxa"/>
            <w:left w:w="108" w:type="dxa"/>
            <w:bottom w:w="15" w:type="dxa"/>
            <w:right w:w="108" w:type="dxa"/>
          </w:tblCellMar>
        </w:tblPrEx>
        <w:trPr>
          <w:trHeight w:val="1644" w:hRule="atLeast"/>
          <w:jc w:val="center"/>
        </w:trPr>
        <w:tc>
          <w:tcPr>
            <w:tcW w:w="225" w:type="pct"/>
            <w:vMerge w:val="restart"/>
            <w:tcBorders>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526</w:t>
            </w:r>
          </w:p>
        </w:tc>
        <w:tc>
          <w:tcPr>
            <w:tcW w:w="805" w:type="pct"/>
            <w:vMerge w:val="restart"/>
            <w:tcBorders>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外国(地区)企业在中国境内从事生产经营活动核准登记</w:t>
            </w:r>
          </w:p>
        </w:tc>
        <w:tc>
          <w:tcPr>
            <w:tcW w:w="467" w:type="pct"/>
            <w:vMerge w:val="restart"/>
            <w:tcBorders>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省级、市级</w:t>
            </w:r>
          </w:p>
        </w:tc>
        <w:tc>
          <w:tcPr>
            <w:tcW w:w="1604"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省级负责涉及前置许可的外国(地区)企业在中国境内从事生产经营活动核准登记。</w:t>
            </w:r>
          </w:p>
        </w:tc>
        <w:tc>
          <w:tcPr>
            <w:tcW w:w="1078" w:type="pct"/>
            <w:vMerge w:val="restart"/>
            <w:tcBorders>
              <w:left w:val="single" w:color="000000" w:sz="4" w:space="0"/>
              <w:bottom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hint="eastAsia" w:asciiTheme="minorEastAsia" w:hAnsiTheme="minorEastAsia" w:eastAsiaTheme="minorEastAsia"/>
                <w:kern w:val="0"/>
                <w:sz w:val="21"/>
                <w:szCs w:val="21"/>
                <w:lang w:eastAsia="zh-CN"/>
              </w:rPr>
            </w:pPr>
            <w:r>
              <w:rPr>
                <w:rFonts w:hint="eastAsia" w:asciiTheme="minorEastAsia" w:hAnsiTheme="minorEastAsia" w:eastAsiaTheme="minorEastAsia"/>
                <w:kern w:val="0"/>
                <w:sz w:val="21"/>
                <w:szCs w:val="21"/>
              </w:rPr>
              <w:t>1.《国务院对确需保留的行政审批项目设定行政许可的决定》附件第237项；</w:t>
            </w:r>
          </w:p>
          <w:p>
            <w:pPr>
              <w:widowControl/>
              <w:adjustRightInd w:val="0"/>
              <w:snapToGrid w:val="0"/>
              <w:rPr>
                <w:rFonts w:hint="eastAsia" w:asciiTheme="minorEastAsia" w:hAnsiTheme="minorEastAsia" w:eastAsiaTheme="minorEastAsia"/>
                <w:kern w:val="0"/>
                <w:sz w:val="21"/>
                <w:szCs w:val="21"/>
                <w:lang w:eastAsia="zh-CN"/>
              </w:rPr>
            </w:pPr>
            <w:r>
              <w:rPr>
                <w:rFonts w:hint="eastAsia" w:asciiTheme="minorEastAsia" w:hAnsiTheme="minorEastAsia" w:eastAsiaTheme="minorEastAsia"/>
                <w:kern w:val="0"/>
                <w:sz w:val="21"/>
                <w:szCs w:val="21"/>
              </w:rPr>
              <w:t>2.《外国（地区）企业在中国境内从事生产经营活动登记管理办法》第二条；</w:t>
            </w:r>
          </w:p>
          <w:p>
            <w:pPr>
              <w:widowControl/>
              <w:adjustRightInd w:val="0"/>
              <w:snapToGrid w:val="0"/>
              <w:rPr>
                <w:rFonts w:hint="eastAsia" w:asciiTheme="minorEastAsia" w:hAnsiTheme="minorEastAsia" w:eastAsiaTheme="minorEastAsia"/>
                <w:kern w:val="0"/>
                <w:sz w:val="21"/>
                <w:szCs w:val="21"/>
                <w:lang w:eastAsia="zh-CN"/>
              </w:rPr>
            </w:pPr>
            <w:r>
              <w:rPr>
                <w:rFonts w:hint="eastAsia" w:asciiTheme="minorEastAsia" w:hAnsiTheme="minorEastAsia" w:eastAsiaTheme="minorEastAsia"/>
                <w:kern w:val="0"/>
                <w:sz w:val="21"/>
                <w:szCs w:val="21"/>
              </w:rPr>
              <w:t>3.《国务院关于取消和下放一批行政审批项目等事项的决定》附件1第85项；</w:t>
            </w:r>
          </w:p>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4.《外商投资企业授权登记管理办法》第三条。</w:t>
            </w:r>
          </w:p>
        </w:tc>
        <w:tc>
          <w:tcPr>
            <w:tcW w:w="601" w:type="pct"/>
            <w:vMerge w:val="restar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国家市场监管总局授权的市级及部分县级市场监管部门，雄安新区公共服务局</w:t>
            </w:r>
          </w:p>
        </w:tc>
        <w:tc>
          <w:tcPr>
            <w:tcW w:w="218" w:type="pct"/>
            <w:vMerge w:val="restart"/>
            <w:tcBorders>
              <w:top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p>
        </w:tc>
      </w:tr>
      <w:tr>
        <w:tblPrEx>
          <w:tblCellMar>
            <w:top w:w="15" w:type="dxa"/>
            <w:left w:w="108" w:type="dxa"/>
            <w:bottom w:w="15" w:type="dxa"/>
            <w:right w:w="108" w:type="dxa"/>
          </w:tblCellMar>
        </w:tblPrEx>
        <w:trPr>
          <w:trHeight w:val="1644" w:hRule="atLeast"/>
          <w:jc w:val="center"/>
        </w:trPr>
        <w:tc>
          <w:tcPr>
            <w:tcW w:w="225" w:type="pct"/>
            <w:vMerge w:val="continue"/>
            <w:tcBorders>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left"/>
              <w:rPr>
                <w:rFonts w:asciiTheme="minorEastAsia" w:hAnsiTheme="minorEastAsia" w:eastAsiaTheme="minorEastAsia"/>
                <w:kern w:val="0"/>
                <w:sz w:val="21"/>
                <w:szCs w:val="21"/>
              </w:rPr>
            </w:pPr>
          </w:p>
        </w:tc>
        <w:tc>
          <w:tcPr>
            <w:tcW w:w="805" w:type="pct"/>
            <w:vMerge w:val="continue"/>
            <w:tcBorders>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p>
        </w:tc>
        <w:tc>
          <w:tcPr>
            <w:tcW w:w="467" w:type="pct"/>
            <w:vMerge w:val="continue"/>
            <w:tcBorders>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jc w:val="left"/>
              <w:rPr>
                <w:rFonts w:asciiTheme="minorEastAsia" w:hAnsiTheme="minorEastAsia" w:eastAsiaTheme="minorEastAsia"/>
                <w:kern w:val="0"/>
                <w:sz w:val="21"/>
                <w:szCs w:val="21"/>
              </w:rPr>
            </w:pPr>
          </w:p>
        </w:tc>
        <w:tc>
          <w:tcPr>
            <w:tcW w:w="1604"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市级负责不涉及前置许可的外国(地区)企业在中国境内从事生产经营活动核准登记。</w:t>
            </w:r>
          </w:p>
        </w:tc>
        <w:tc>
          <w:tcPr>
            <w:tcW w:w="1078" w:type="pct"/>
            <w:vMerge w:val="continue"/>
            <w:tcBorders>
              <w:left w:val="single" w:color="000000" w:sz="4" w:space="0"/>
              <w:bottom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p>
        </w:tc>
        <w:tc>
          <w:tcPr>
            <w:tcW w:w="601" w:type="pct"/>
            <w:vMerge w:val="continue"/>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p>
        </w:tc>
        <w:tc>
          <w:tcPr>
            <w:tcW w:w="218" w:type="pct"/>
            <w:vMerge w:val="continue"/>
            <w:tcBorders>
              <w:top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left"/>
              <w:rPr>
                <w:rFonts w:asciiTheme="minorEastAsia" w:hAnsiTheme="minorEastAsia" w:eastAsiaTheme="minorEastAsia"/>
                <w:kern w:val="0"/>
                <w:sz w:val="21"/>
                <w:szCs w:val="21"/>
              </w:rPr>
            </w:pPr>
          </w:p>
        </w:tc>
      </w:tr>
      <w:tr>
        <w:tblPrEx>
          <w:tblCellMar>
            <w:top w:w="15" w:type="dxa"/>
            <w:left w:w="108" w:type="dxa"/>
            <w:bottom w:w="15" w:type="dxa"/>
            <w:right w:w="108" w:type="dxa"/>
          </w:tblCellMar>
        </w:tblPrEx>
        <w:trPr>
          <w:trHeight w:val="2381" w:hRule="atLeast"/>
          <w:jc w:val="center"/>
        </w:trPr>
        <w:tc>
          <w:tcPr>
            <w:tcW w:w="225"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527</w:t>
            </w:r>
          </w:p>
        </w:tc>
        <w:tc>
          <w:tcPr>
            <w:tcW w:w="805" w:type="pct"/>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特种设备生产单位许可</w:t>
            </w:r>
          </w:p>
        </w:tc>
        <w:tc>
          <w:tcPr>
            <w:tcW w:w="467" w:type="pct"/>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省级</w:t>
            </w:r>
          </w:p>
        </w:tc>
        <w:tc>
          <w:tcPr>
            <w:tcW w:w="1604"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负责特种设备生产单位许可。</w:t>
            </w:r>
          </w:p>
        </w:tc>
        <w:tc>
          <w:tcPr>
            <w:tcW w:w="1078" w:type="pct"/>
            <w:tcBorders>
              <w:top w:val="single" w:color="000000" w:sz="4" w:space="0"/>
              <w:left w:val="single" w:color="000000" w:sz="4" w:space="0"/>
              <w:bottom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hint="eastAsia" w:asciiTheme="minorEastAsia" w:hAnsiTheme="minorEastAsia" w:eastAsiaTheme="minorEastAsia"/>
                <w:kern w:val="0"/>
                <w:sz w:val="21"/>
                <w:szCs w:val="21"/>
                <w:lang w:eastAsia="zh-CN"/>
              </w:rPr>
            </w:pPr>
            <w:r>
              <w:rPr>
                <w:rFonts w:hint="eastAsia" w:asciiTheme="minorEastAsia" w:hAnsiTheme="minorEastAsia" w:eastAsiaTheme="minorEastAsia"/>
                <w:kern w:val="0"/>
                <w:sz w:val="21"/>
                <w:szCs w:val="21"/>
              </w:rPr>
              <w:t>1.《特种设备安全监察条例》第十一条、第十四条；</w:t>
            </w:r>
          </w:p>
          <w:p>
            <w:pPr>
              <w:widowControl/>
              <w:adjustRightInd w:val="0"/>
              <w:snapToGrid w:val="0"/>
              <w:rPr>
                <w:rFonts w:hint="eastAsia" w:asciiTheme="minorEastAsia" w:hAnsiTheme="minorEastAsia" w:eastAsiaTheme="minorEastAsia"/>
                <w:kern w:val="0"/>
                <w:sz w:val="21"/>
                <w:szCs w:val="21"/>
                <w:lang w:eastAsia="zh-CN"/>
              </w:rPr>
            </w:pPr>
            <w:r>
              <w:rPr>
                <w:rFonts w:hint="eastAsia" w:asciiTheme="minorEastAsia" w:hAnsiTheme="minorEastAsia" w:eastAsiaTheme="minorEastAsia"/>
                <w:kern w:val="0"/>
                <w:sz w:val="21"/>
                <w:szCs w:val="21"/>
              </w:rPr>
              <w:t>2.《国务院关于取消和下放一批行政审批项目的决定》附件第80项；</w:t>
            </w:r>
          </w:p>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3.《市场监管总局关于特种设备行政许可有关事项的公告》。</w:t>
            </w:r>
          </w:p>
        </w:tc>
        <w:tc>
          <w:tcPr>
            <w:tcW w:w="601"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省市场监管局</w:t>
            </w:r>
          </w:p>
        </w:tc>
        <w:tc>
          <w:tcPr>
            <w:tcW w:w="218" w:type="pct"/>
            <w:tcBorders>
              <w:top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p>
        </w:tc>
      </w:tr>
      <w:tr>
        <w:tblPrEx>
          <w:tblCellMar>
            <w:top w:w="15" w:type="dxa"/>
            <w:left w:w="108" w:type="dxa"/>
            <w:bottom w:w="15" w:type="dxa"/>
            <w:right w:w="108" w:type="dxa"/>
          </w:tblCellMar>
        </w:tblPrEx>
        <w:trPr>
          <w:trHeight w:val="2041" w:hRule="atLeast"/>
          <w:jc w:val="center"/>
        </w:trPr>
        <w:tc>
          <w:tcPr>
            <w:tcW w:w="225"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528</w:t>
            </w:r>
          </w:p>
        </w:tc>
        <w:tc>
          <w:tcPr>
            <w:tcW w:w="805" w:type="pct"/>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气瓶和移动式压力容器充装单位资格许可</w:t>
            </w:r>
          </w:p>
        </w:tc>
        <w:tc>
          <w:tcPr>
            <w:tcW w:w="467" w:type="pct"/>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省级</w:t>
            </w:r>
          </w:p>
        </w:tc>
        <w:tc>
          <w:tcPr>
            <w:tcW w:w="1604"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负责气瓶和移动式压力容器充装单位资格许可。</w:t>
            </w:r>
          </w:p>
        </w:tc>
        <w:tc>
          <w:tcPr>
            <w:tcW w:w="1078" w:type="pct"/>
            <w:tcBorders>
              <w:top w:val="single" w:color="000000" w:sz="4" w:space="0"/>
              <w:left w:val="single" w:color="000000" w:sz="4" w:space="0"/>
              <w:bottom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hint="eastAsia" w:asciiTheme="minorEastAsia" w:hAnsiTheme="minorEastAsia" w:eastAsiaTheme="minorEastAsia"/>
                <w:kern w:val="0"/>
                <w:sz w:val="21"/>
                <w:szCs w:val="21"/>
                <w:lang w:eastAsia="zh-CN"/>
              </w:rPr>
            </w:pPr>
            <w:r>
              <w:rPr>
                <w:rFonts w:hint="eastAsia" w:asciiTheme="minorEastAsia" w:hAnsiTheme="minorEastAsia" w:eastAsiaTheme="minorEastAsia"/>
                <w:kern w:val="0"/>
                <w:sz w:val="21"/>
                <w:szCs w:val="21"/>
              </w:rPr>
              <w:t>1.《市场监管总局关于特种设备行政许可有关事项的公告》；</w:t>
            </w:r>
          </w:p>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2.《河北省人民政府办公厅关于省政府部门再取消下放一批行政权力事项的通知》。</w:t>
            </w:r>
          </w:p>
        </w:tc>
        <w:tc>
          <w:tcPr>
            <w:tcW w:w="601" w:type="pct"/>
            <w:tcBorders>
              <w:top w:val="single" w:color="231F20" w:sz="4" w:space="0"/>
              <w:left w:val="single" w:color="231F20" w:sz="4" w:space="0"/>
              <w:bottom w:val="single" w:color="231F20" w:sz="4" w:space="0"/>
              <w:right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省市场监管局</w:t>
            </w:r>
          </w:p>
        </w:tc>
        <w:tc>
          <w:tcPr>
            <w:tcW w:w="218" w:type="pct"/>
            <w:tcBorders>
              <w:top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p>
        </w:tc>
      </w:tr>
      <w:tr>
        <w:tblPrEx>
          <w:tblCellMar>
            <w:top w:w="15" w:type="dxa"/>
            <w:left w:w="108" w:type="dxa"/>
            <w:bottom w:w="15" w:type="dxa"/>
            <w:right w:w="108" w:type="dxa"/>
          </w:tblCellMar>
        </w:tblPrEx>
        <w:trPr>
          <w:trHeight w:val="2041" w:hRule="atLeast"/>
          <w:jc w:val="center"/>
        </w:trPr>
        <w:tc>
          <w:tcPr>
            <w:tcW w:w="225"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529</w:t>
            </w:r>
          </w:p>
        </w:tc>
        <w:tc>
          <w:tcPr>
            <w:tcW w:w="805"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特种设备使用登记</w:t>
            </w:r>
          </w:p>
        </w:tc>
        <w:tc>
          <w:tcPr>
            <w:tcW w:w="467"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市级</w:t>
            </w:r>
          </w:p>
        </w:tc>
        <w:tc>
          <w:tcPr>
            <w:tcW w:w="1604"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负责特种设备使用登记。</w:t>
            </w:r>
          </w:p>
        </w:tc>
        <w:tc>
          <w:tcPr>
            <w:tcW w:w="1078" w:type="pct"/>
            <w:tcBorders>
              <w:top w:val="single" w:color="000000" w:sz="4" w:space="0"/>
              <w:left w:val="single" w:color="000000" w:sz="4" w:space="0"/>
              <w:bottom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hint="eastAsia" w:asciiTheme="minorEastAsia" w:hAnsiTheme="minorEastAsia" w:eastAsiaTheme="minorEastAsia"/>
                <w:kern w:val="0"/>
                <w:sz w:val="21"/>
                <w:szCs w:val="21"/>
                <w:lang w:eastAsia="zh-CN"/>
              </w:rPr>
            </w:pPr>
            <w:r>
              <w:rPr>
                <w:rFonts w:hint="eastAsia" w:asciiTheme="minorEastAsia" w:hAnsiTheme="minorEastAsia" w:eastAsiaTheme="minorEastAsia"/>
                <w:kern w:val="0"/>
                <w:sz w:val="21"/>
                <w:szCs w:val="21"/>
              </w:rPr>
              <w:t>1.《中国人民共和国特种设备安全法》第五条；</w:t>
            </w:r>
          </w:p>
          <w:p>
            <w:pPr>
              <w:widowControl/>
              <w:adjustRightInd w:val="0"/>
              <w:snapToGrid w:val="0"/>
              <w:rPr>
                <w:rFonts w:hint="eastAsia" w:asciiTheme="minorEastAsia" w:hAnsiTheme="minorEastAsia" w:eastAsiaTheme="minorEastAsia"/>
                <w:kern w:val="0"/>
                <w:sz w:val="21"/>
                <w:szCs w:val="21"/>
                <w:lang w:eastAsia="zh-CN"/>
              </w:rPr>
            </w:pPr>
            <w:r>
              <w:rPr>
                <w:rFonts w:hint="eastAsia" w:asciiTheme="minorEastAsia" w:hAnsiTheme="minorEastAsia" w:eastAsiaTheme="minorEastAsia"/>
                <w:kern w:val="0"/>
                <w:sz w:val="21"/>
                <w:szCs w:val="21"/>
              </w:rPr>
              <w:t>2.《特种设备安全监察条例》第二十五条；</w:t>
            </w:r>
          </w:p>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3.《特种设备使用管理规则》3.1。</w:t>
            </w:r>
          </w:p>
        </w:tc>
        <w:tc>
          <w:tcPr>
            <w:tcW w:w="601"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市级市场监管部门或行政审批局</w:t>
            </w:r>
          </w:p>
        </w:tc>
        <w:tc>
          <w:tcPr>
            <w:tcW w:w="218"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p>
        </w:tc>
      </w:tr>
      <w:tr>
        <w:tblPrEx>
          <w:tblCellMar>
            <w:top w:w="15" w:type="dxa"/>
            <w:left w:w="108" w:type="dxa"/>
            <w:bottom w:w="15" w:type="dxa"/>
            <w:right w:w="108" w:type="dxa"/>
          </w:tblCellMar>
        </w:tblPrEx>
        <w:trPr>
          <w:trHeight w:val="1134" w:hRule="atLeast"/>
          <w:jc w:val="center"/>
        </w:trPr>
        <w:tc>
          <w:tcPr>
            <w:tcW w:w="225"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530</w:t>
            </w:r>
          </w:p>
        </w:tc>
        <w:tc>
          <w:tcPr>
            <w:tcW w:w="805" w:type="pct"/>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重要工业产品生产许可证核发</w:t>
            </w:r>
          </w:p>
        </w:tc>
        <w:tc>
          <w:tcPr>
            <w:tcW w:w="467" w:type="pct"/>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省级</w:t>
            </w:r>
          </w:p>
        </w:tc>
        <w:tc>
          <w:tcPr>
            <w:tcW w:w="1604" w:type="pct"/>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负责重要工业产品生产许可证核发。</w:t>
            </w:r>
          </w:p>
        </w:tc>
        <w:tc>
          <w:tcPr>
            <w:tcW w:w="1078" w:type="pct"/>
            <w:tcBorders>
              <w:top w:val="single" w:color="000000" w:sz="4" w:space="0"/>
              <w:left w:val="single" w:color="000000" w:sz="4" w:space="0"/>
              <w:bottom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《中华人民共和国工业产品生产许可证管理条例》第六十八条。</w:t>
            </w:r>
          </w:p>
        </w:tc>
        <w:tc>
          <w:tcPr>
            <w:tcW w:w="601"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省市场监管局</w:t>
            </w:r>
          </w:p>
        </w:tc>
        <w:tc>
          <w:tcPr>
            <w:tcW w:w="218" w:type="pct"/>
            <w:tcBorders>
              <w:top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p>
        </w:tc>
      </w:tr>
      <w:tr>
        <w:tblPrEx>
          <w:tblCellMar>
            <w:top w:w="15" w:type="dxa"/>
            <w:left w:w="108" w:type="dxa"/>
            <w:bottom w:w="15" w:type="dxa"/>
            <w:right w:w="108" w:type="dxa"/>
          </w:tblCellMar>
        </w:tblPrEx>
        <w:trPr>
          <w:trHeight w:val="964" w:hRule="atLeast"/>
          <w:jc w:val="center"/>
        </w:trPr>
        <w:tc>
          <w:tcPr>
            <w:tcW w:w="225"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531</w:t>
            </w:r>
          </w:p>
        </w:tc>
        <w:tc>
          <w:tcPr>
            <w:tcW w:w="805" w:type="pct"/>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特种设备检验检测机构核准</w:t>
            </w:r>
          </w:p>
        </w:tc>
        <w:tc>
          <w:tcPr>
            <w:tcW w:w="467" w:type="pct"/>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省级</w:t>
            </w:r>
          </w:p>
        </w:tc>
        <w:tc>
          <w:tcPr>
            <w:tcW w:w="1604"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负责特种设备检验检测机构核准。</w:t>
            </w:r>
          </w:p>
        </w:tc>
        <w:tc>
          <w:tcPr>
            <w:tcW w:w="1078" w:type="pct"/>
            <w:tcBorders>
              <w:top w:val="single" w:color="000000" w:sz="4" w:space="0"/>
              <w:left w:val="single" w:color="000000" w:sz="4" w:space="0"/>
              <w:bottom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《特种设备检验检测机构核准规则》第3号修改单第五条。</w:t>
            </w:r>
          </w:p>
        </w:tc>
        <w:tc>
          <w:tcPr>
            <w:tcW w:w="601"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省市场监管局</w:t>
            </w:r>
          </w:p>
        </w:tc>
        <w:tc>
          <w:tcPr>
            <w:tcW w:w="218" w:type="pct"/>
            <w:tcBorders>
              <w:top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p>
        </w:tc>
      </w:tr>
      <w:tr>
        <w:tblPrEx>
          <w:tblCellMar>
            <w:top w:w="15" w:type="dxa"/>
            <w:left w:w="108" w:type="dxa"/>
            <w:bottom w:w="15" w:type="dxa"/>
            <w:right w:w="108" w:type="dxa"/>
          </w:tblCellMar>
        </w:tblPrEx>
        <w:trPr>
          <w:trHeight w:val="1644" w:hRule="atLeast"/>
          <w:jc w:val="center"/>
        </w:trPr>
        <w:tc>
          <w:tcPr>
            <w:tcW w:w="225"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532</w:t>
            </w:r>
          </w:p>
        </w:tc>
        <w:tc>
          <w:tcPr>
            <w:tcW w:w="805" w:type="pct"/>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检验检测机构资质认定</w:t>
            </w:r>
          </w:p>
        </w:tc>
        <w:tc>
          <w:tcPr>
            <w:tcW w:w="467" w:type="pct"/>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省级</w:t>
            </w:r>
          </w:p>
        </w:tc>
        <w:tc>
          <w:tcPr>
            <w:tcW w:w="1604"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负责检验检测机构的资质认定。</w:t>
            </w:r>
          </w:p>
        </w:tc>
        <w:tc>
          <w:tcPr>
            <w:tcW w:w="1078" w:type="pct"/>
            <w:tcBorders>
              <w:top w:val="single" w:color="000000" w:sz="4" w:space="0"/>
              <w:left w:val="single" w:color="000000" w:sz="4" w:space="0"/>
              <w:bottom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《河北省质量技术监督局印发&lt;关于进一步改进和规范检验检测机构资质认定工作的若干措施&gt;的通知》。</w:t>
            </w:r>
          </w:p>
        </w:tc>
        <w:tc>
          <w:tcPr>
            <w:tcW w:w="601"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省市场监管局</w:t>
            </w:r>
          </w:p>
        </w:tc>
        <w:tc>
          <w:tcPr>
            <w:tcW w:w="218" w:type="pct"/>
            <w:tcBorders>
              <w:top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p>
        </w:tc>
      </w:tr>
      <w:tr>
        <w:tblPrEx>
          <w:tblCellMar>
            <w:top w:w="15" w:type="dxa"/>
            <w:left w:w="108" w:type="dxa"/>
            <w:bottom w:w="15" w:type="dxa"/>
            <w:right w:w="108" w:type="dxa"/>
          </w:tblCellMar>
        </w:tblPrEx>
        <w:trPr>
          <w:trHeight w:val="964" w:hRule="atLeast"/>
          <w:jc w:val="center"/>
        </w:trPr>
        <w:tc>
          <w:tcPr>
            <w:tcW w:w="225" w:type="pct"/>
            <w:vMerge w:val="restar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533</w:t>
            </w:r>
          </w:p>
        </w:tc>
        <w:tc>
          <w:tcPr>
            <w:tcW w:w="805" w:type="pct"/>
            <w:vMerge w:val="restart"/>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食品(含保健食品)生产许可</w:t>
            </w:r>
          </w:p>
        </w:tc>
        <w:tc>
          <w:tcPr>
            <w:tcW w:w="467" w:type="pct"/>
            <w:vMerge w:val="restart"/>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省级、市级、县级</w:t>
            </w:r>
          </w:p>
        </w:tc>
        <w:tc>
          <w:tcPr>
            <w:tcW w:w="1604" w:type="pct"/>
            <w:tcBorders>
              <w:top w:val="single" w:color="231F20" w:sz="4" w:space="0"/>
              <w:left w:val="single" w:color="231F20" w:sz="4" w:space="0"/>
              <w:bottom w:val="single" w:color="231F20" w:sz="4" w:space="0"/>
              <w:right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省级负责保健食品、特殊医学用途配方食品、婴幼儿配方食品、婴幼儿辅助食品、食盐等食品的生产许可。</w:t>
            </w:r>
          </w:p>
        </w:tc>
        <w:tc>
          <w:tcPr>
            <w:tcW w:w="1078" w:type="pct"/>
            <w:vMerge w:val="restart"/>
            <w:tcBorders>
              <w:top w:val="single" w:color="000000" w:sz="4" w:space="0"/>
              <w:left w:val="single" w:color="000000" w:sz="4" w:space="0"/>
              <w:bottom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hint="eastAsia" w:asciiTheme="minorEastAsia" w:hAnsiTheme="minorEastAsia" w:eastAsiaTheme="minorEastAsia"/>
                <w:kern w:val="0"/>
                <w:sz w:val="21"/>
                <w:szCs w:val="21"/>
                <w:lang w:eastAsia="zh-CN"/>
              </w:rPr>
            </w:pPr>
            <w:r>
              <w:rPr>
                <w:rFonts w:hint="eastAsia" w:asciiTheme="minorEastAsia" w:hAnsiTheme="minorEastAsia" w:eastAsiaTheme="minorEastAsia"/>
                <w:kern w:val="0"/>
                <w:sz w:val="21"/>
                <w:szCs w:val="21"/>
              </w:rPr>
              <w:t>1.《食品生产许可管理办法》第七条；</w:t>
            </w:r>
          </w:p>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2.《河北省食品药品监督管理局关于进一步下放食品生产许可审批权限的通知》；</w:t>
            </w:r>
          </w:p>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3.《河北省食品药品监督管理局关于进一步下放和调整食品生产许可审批权限的通知》。</w:t>
            </w:r>
          </w:p>
        </w:tc>
        <w:tc>
          <w:tcPr>
            <w:tcW w:w="601"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省市场监管局</w:t>
            </w:r>
          </w:p>
        </w:tc>
        <w:tc>
          <w:tcPr>
            <w:tcW w:w="218" w:type="pct"/>
            <w:vMerge w:val="restart"/>
            <w:tcBorders>
              <w:top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p>
        </w:tc>
      </w:tr>
      <w:tr>
        <w:tblPrEx>
          <w:tblCellMar>
            <w:top w:w="15" w:type="dxa"/>
            <w:left w:w="108" w:type="dxa"/>
            <w:bottom w:w="15" w:type="dxa"/>
            <w:right w:w="108" w:type="dxa"/>
          </w:tblCellMar>
        </w:tblPrEx>
        <w:trPr>
          <w:trHeight w:val="1531" w:hRule="atLeast"/>
          <w:jc w:val="center"/>
        </w:trPr>
        <w:tc>
          <w:tcPr>
            <w:tcW w:w="225" w:type="pct"/>
            <w:vMerge w:val="continue"/>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left"/>
              <w:rPr>
                <w:rFonts w:asciiTheme="minorEastAsia" w:hAnsiTheme="minorEastAsia" w:eastAsiaTheme="minorEastAsia"/>
                <w:kern w:val="0"/>
                <w:sz w:val="21"/>
                <w:szCs w:val="21"/>
              </w:rPr>
            </w:pPr>
          </w:p>
        </w:tc>
        <w:tc>
          <w:tcPr>
            <w:tcW w:w="805" w:type="pct"/>
            <w:vMerge w:val="continue"/>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p>
        </w:tc>
        <w:tc>
          <w:tcPr>
            <w:tcW w:w="467" w:type="pct"/>
            <w:vMerge w:val="continue"/>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jc w:val="left"/>
              <w:rPr>
                <w:rFonts w:asciiTheme="minorEastAsia" w:hAnsiTheme="minorEastAsia" w:eastAsiaTheme="minorEastAsia"/>
                <w:kern w:val="0"/>
                <w:sz w:val="21"/>
                <w:szCs w:val="21"/>
              </w:rPr>
            </w:pPr>
          </w:p>
        </w:tc>
        <w:tc>
          <w:tcPr>
            <w:tcW w:w="1604" w:type="pct"/>
            <w:tcBorders>
              <w:top w:val="single" w:color="231F20" w:sz="4" w:space="0"/>
              <w:left w:val="single" w:color="231F20" w:sz="4" w:space="0"/>
              <w:bottom w:val="single" w:color="231F20" w:sz="4" w:space="0"/>
              <w:right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市级负责肉制品、乳制品、酒类、冷冻饮品、速冻食品、水产制品、淀粉及淀粉制品、糕点、豆制品、蜂产品、特殊膳食食品（婴幼儿辅助食品除外）、其他食品、食品添加剂等13类较高风险食品的生产许可。</w:t>
            </w:r>
          </w:p>
        </w:tc>
        <w:tc>
          <w:tcPr>
            <w:tcW w:w="1078" w:type="pct"/>
            <w:vMerge w:val="continue"/>
            <w:tcBorders>
              <w:top w:val="single" w:color="000000" w:sz="4" w:space="0"/>
              <w:left w:val="single" w:color="000000" w:sz="4" w:space="0"/>
              <w:bottom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p>
        </w:tc>
        <w:tc>
          <w:tcPr>
            <w:tcW w:w="601"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市级市场监管部门或行政审批局</w:t>
            </w:r>
          </w:p>
        </w:tc>
        <w:tc>
          <w:tcPr>
            <w:tcW w:w="218" w:type="pct"/>
            <w:vMerge w:val="continue"/>
            <w:tcBorders>
              <w:top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left"/>
              <w:rPr>
                <w:rFonts w:asciiTheme="minorEastAsia" w:hAnsiTheme="minorEastAsia" w:eastAsiaTheme="minorEastAsia"/>
                <w:kern w:val="0"/>
                <w:sz w:val="21"/>
                <w:szCs w:val="21"/>
              </w:rPr>
            </w:pPr>
          </w:p>
        </w:tc>
      </w:tr>
      <w:tr>
        <w:tblPrEx>
          <w:tblCellMar>
            <w:top w:w="15" w:type="dxa"/>
            <w:left w:w="108" w:type="dxa"/>
            <w:bottom w:w="15" w:type="dxa"/>
            <w:right w:w="108" w:type="dxa"/>
          </w:tblCellMar>
        </w:tblPrEx>
        <w:trPr>
          <w:trHeight w:val="1814" w:hRule="atLeast"/>
          <w:jc w:val="center"/>
        </w:trPr>
        <w:tc>
          <w:tcPr>
            <w:tcW w:w="225" w:type="pct"/>
            <w:vMerge w:val="continue"/>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left"/>
              <w:rPr>
                <w:rFonts w:asciiTheme="minorEastAsia" w:hAnsiTheme="minorEastAsia" w:eastAsiaTheme="minorEastAsia"/>
                <w:kern w:val="0"/>
                <w:sz w:val="21"/>
                <w:szCs w:val="21"/>
              </w:rPr>
            </w:pPr>
          </w:p>
        </w:tc>
        <w:tc>
          <w:tcPr>
            <w:tcW w:w="805" w:type="pct"/>
            <w:vMerge w:val="continue"/>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p>
        </w:tc>
        <w:tc>
          <w:tcPr>
            <w:tcW w:w="467" w:type="pct"/>
            <w:vMerge w:val="continue"/>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jc w:val="left"/>
              <w:rPr>
                <w:rFonts w:asciiTheme="minorEastAsia" w:hAnsiTheme="minorEastAsia" w:eastAsiaTheme="minorEastAsia"/>
                <w:kern w:val="0"/>
                <w:sz w:val="21"/>
                <w:szCs w:val="21"/>
              </w:rPr>
            </w:pPr>
          </w:p>
        </w:tc>
        <w:tc>
          <w:tcPr>
            <w:tcW w:w="1604" w:type="pct"/>
            <w:tcBorders>
              <w:top w:val="single" w:color="231F20" w:sz="4" w:space="0"/>
              <w:left w:val="single" w:color="231F20" w:sz="4" w:space="0"/>
              <w:bottom w:val="single" w:color="231F20" w:sz="4" w:space="0"/>
              <w:right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县级负责粮食加工品，食用植物油、油脂及其制品，调味品（食盐除外），饮料，方便食品，饼干，罐头，薯类和膨化食品，糖果制品，茶叶及相关制品，蔬菜制品，水果制品，炒货食品及坚果制品，蛋制品，可可及焙烤咖啡产品，食糖等16类中低风险食品的生产许可。</w:t>
            </w:r>
          </w:p>
        </w:tc>
        <w:tc>
          <w:tcPr>
            <w:tcW w:w="1078" w:type="pct"/>
            <w:vMerge w:val="continue"/>
            <w:tcBorders>
              <w:top w:val="single" w:color="000000" w:sz="4" w:space="0"/>
              <w:left w:val="single" w:color="000000" w:sz="4" w:space="0"/>
              <w:bottom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p>
        </w:tc>
        <w:tc>
          <w:tcPr>
            <w:tcW w:w="601"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县级市场监管部门或行政审批局</w:t>
            </w:r>
          </w:p>
        </w:tc>
        <w:tc>
          <w:tcPr>
            <w:tcW w:w="218" w:type="pct"/>
            <w:vMerge w:val="continue"/>
            <w:tcBorders>
              <w:top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left"/>
              <w:rPr>
                <w:rFonts w:asciiTheme="minorEastAsia" w:hAnsiTheme="minorEastAsia" w:eastAsiaTheme="minorEastAsia"/>
                <w:kern w:val="0"/>
                <w:sz w:val="21"/>
                <w:szCs w:val="21"/>
              </w:rPr>
            </w:pPr>
          </w:p>
        </w:tc>
      </w:tr>
      <w:tr>
        <w:tblPrEx>
          <w:tblCellMar>
            <w:top w:w="15" w:type="dxa"/>
            <w:left w:w="108" w:type="dxa"/>
            <w:bottom w:w="15" w:type="dxa"/>
            <w:right w:w="108" w:type="dxa"/>
          </w:tblCellMar>
        </w:tblPrEx>
        <w:trPr>
          <w:trHeight w:val="624" w:hRule="atLeast"/>
          <w:jc w:val="center"/>
        </w:trPr>
        <w:tc>
          <w:tcPr>
            <w:tcW w:w="225" w:type="pct"/>
            <w:vMerge w:val="restar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534</w:t>
            </w:r>
          </w:p>
        </w:tc>
        <w:tc>
          <w:tcPr>
            <w:tcW w:w="805" w:type="pct"/>
            <w:vMerge w:val="restar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食品(含保健食品)经营许可</w:t>
            </w:r>
          </w:p>
        </w:tc>
        <w:tc>
          <w:tcPr>
            <w:tcW w:w="467" w:type="pct"/>
            <w:vMerge w:val="restar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市级、县级、乡级</w:t>
            </w:r>
          </w:p>
        </w:tc>
        <w:tc>
          <w:tcPr>
            <w:tcW w:w="1604"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市级负责食品(含保健食品)经营许可。</w:t>
            </w:r>
          </w:p>
        </w:tc>
        <w:tc>
          <w:tcPr>
            <w:tcW w:w="1078" w:type="pct"/>
            <w:vMerge w:val="restart"/>
            <w:tcBorders>
              <w:top w:val="single" w:color="000000" w:sz="4" w:space="0"/>
              <w:left w:val="single" w:color="000000" w:sz="4" w:space="0"/>
              <w:bottom w:val="single" w:color="000000" w:sz="4" w:space="0"/>
            </w:tcBorders>
            <w:shd w:val="clear" w:color="auto" w:fill="auto"/>
            <w:tcMar>
              <w:top w:w="57" w:type="dxa"/>
              <w:left w:w="57" w:type="dxa"/>
              <w:bottom w:w="57" w:type="dxa"/>
              <w:right w:w="57" w:type="dxa"/>
            </w:tcMar>
            <w:vAlign w:val="center"/>
          </w:tcPr>
          <w:p>
            <w:pPr>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《中华人民共和国食品安全法》第三十五条。</w:t>
            </w:r>
          </w:p>
        </w:tc>
        <w:tc>
          <w:tcPr>
            <w:tcW w:w="601"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市级市场监管部门或行政审批局</w:t>
            </w:r>
          </w:p>
        </w:tc>
        <w:tc>
          <w:tcPr>
            <w:tcW w:w="218" w:type="pct"/>
            <w:vMerge w:val="restart"/>
            <w:tcBorders>
              <w:top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p>
        </w:tc>
      </w:tr>
      <w:tr>
        <w:tblPrEx>
          <w:tblCellMar>
            <w:top w:w="15" w:type="dxa"/>
            <w:left w:w="108" w:type="dxa"/>
            <w:bottom w:w="15" w:type="dxa"/>
            <w:right w:w="108" w:type="dxa"/>
          </w:tblCellMar>
        </w:tblPrEx>
        <w:trPr>
          <w:trHeight w:val="624" w:hRule="atLeast"/>
          <w:jc w:val="center"/>
        </w:trPr>
        <w:tc>
          <w:tcPr>
            <w:tcW w:w="225" w:type="pct"/>
            <w:vMerge w:val="continue"/>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left"/>
              <w:rPr>
                <w:rFonts w:asciiTheme="minorEastAsia" w:hAnsiTheme="minorEastAsia" w:eastAsiaTheme="minorEastAsia"/>
                <w:kern w:val="0"/>
                <w:sz w:val="21"/>
                <w:szCs w:val="21"/>
              </w:rPr>
            </w:pPr>
          </w:p>
        </w:tc>
        <w:tc>
          <w:tcPr>
            <w:tcW w:w="805" w:type="pct"/>
            <w:vMerge w:val="continue"/>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p>
        </w:tc>
        <w:tc>
          <w:tcPr>
            <w:tcW w:w="467" w:type="pct"/>
            <w:vMerge w:val="continue"/>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left"/>
              <w:rPr>
                <w:rFonts w:asciiTheme="minorEastAsia" w:hAnsiTheme="minorEastAsia" w:eastAsiaTheme="minorEastAsia"/>
                <w:kern w:val="0"/>
                <w:sz w:val="21"/>
                <w:szCs w:val="21"/>
              </w:rPr>
            </w:pPr>
          </w:p>
        </w:tc>
        <w:tc>
          <w:tcPr>
            <w:tcW w:w="1604"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县级负责食品(含保健食品)经营许可（县级权限已依法赋权乡镇和街道实施）。</w:t>
            </w:r>
          </w:p>
        </w:tc>
        <w:tc>
          <w:tcPr>
            <w:tcW w:w="1078" w:type="pct"/>
            <w:vMerge w:val="continue"/>
            <w:tcBorders>
              <w:top w:val="single" w:color="000000" w:sz="4" w:space="0"/>
              <w:left w:val="single" w:color="000000" w:sz="4" w:space="0"/>
              <w:bottom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p>
        </w:tc>
        <w:tc>
          <w:tcPr>
            <w:tcW w:w="601"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县级市场监管部门或行政审批局</w:t>
            </w:r>
          </w:p>
        </w:tc>
        <w:tc>
          <w:tcPr>
            <w:tcW w:w="218" w:type="pct"/>
            <w:vMerge w:val="continue"/>
            <w:tcBorders>
              <w:top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left"/>
              <w:rPr>
                <w:rFonts w:asciiTheme="minorEastAsia" w:hAnsiTheme="minorEastAsia" w:eastAsiaTheme="minorEastAsia"/>
                <w:kern w:val="0"/>
                <w:sz w:val="21"/>
                <w:szCs w:val="21"/>
              </w:rPr>
            </w:pPr>
          </w:p>
        </w:tc>
      </w:tr>
      <w:tr>
        <w:tblPrEx>
          <w:tblCellMar>
            <w:top w:w="15" w:type="dxa"/>
            <w:left w:w="108" w:type="dxa"/>
            <w:bottom w:w="15" w:type="dxa"/>
            <w:right w:w="108" w:type="dxa"/>
          </w:tblCellMar>
        </w:tblPrEx>
        <w:trPr>
          <w:trHeight w:val="2154" w:hRule="atLeast"/>
          <w:jc w:val="center"/>
        </w:trPr>
        <w:tc>
          <w:tcPr>
            <w:tcW w:w="225"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535</w:t>
            </w:r>
          </w:p>
        </w:tc>
        <w:tc>
          <w:tcPr>
            <w:tcW w:w="805"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食品添加剂生产许可</w:t>
            </w:r>
          </w:p>
        </w:tc>
        <w:tc>
          <w:tcPr>
            <w:tcW w:w="467"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市级</w:t>
            </w:r>
          </w:p>
        </w:tc>
        <w:tc>
          <w:tcPr>
            <w:tcW w:w="1604"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负责食品添加剂生产许可。</w:t>
            </w:r>
          </w:p>
        </w:tc>
        <w:tc>
          <w:tcPr>
            <w:tcW w:w="1078" w:type="pct"/>
            <w:tcBorders>
              <w:top w:val="single" w:color="000000" w:sz="4" w:space="0"/>
              <w:left w:val="single" w:color="000000" w:sz="4" w:space="0"/>
              <w:bottom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hint="eastAsia" w:asciiTheme="minorEastAsia" w:hAnsiTheme="minorEastAsia" w:eastAsiaTheme="minorEastAsia"/>
                <w:kern w:val="0"/>
                <w:sz w:val="21"/>
                <w:szCs w:val="21"/>
                <w:lang w:eastAsia="zh-CN"/>
              </w:rPr>
            </w:pPr>
            <w:r>
              <w:rPr>
                <w:rFonts w:hint="eastAsia" w:asciiTheme="minorEastAsia" w:hAnsiTheme="minorEastAsia" w:eastAsiaTheme="minorEastAsia"/>
                <w:kern w:val="0"/>
                <w:sz w:val="21"/>
                <w:szCs w:val="21"/>
              </w:rPr>
              <w:t>1.《中华人民共和国食品安全法》第三十五条；</w:t>
            </w:r>
          </w:p>
          <w:p>
            <w:pPr>
              <w:widowControl/>
              <w:adjustRightInd w:val="0"/>
              <w:snapToGrid w:val="0"/>
              <w:rPr>
                <w:rFonts w:hint="eastAsia" w:asciiTheme="minorEastAsia" w:hAnsiTheme="minorEastAsia" w:eastAsiaTheme="minorEastAsia"/>
                <w:kern w:val="0"/>
                <w:sz w:val="21"/>
                <w:szCs w:val="21"/>
                <w:lang w:eastAsia="zh-CN"/>
              </w:rPr>
            </w:pPr>
            <w:r>
              <w:rPr>
                <w:rFonts w:hint="eastAsia" w:asciiTheme="minorEastAsia" w:hAnsiTheme="minorEastAsia" w:eastAsiaTheme="minorEastAsia"/>
                <w:kern w:val="0"/>
                <w:sz w:val="21"/>
                <w:szCs w:val="21"/>
              </w:rPr>
              <w:t>2.《食品生产许可管理办法》第七条；</w:t>
            </w:r>
          </w:p>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3.《河北省食品药品监督管理局关于进一步下放和调整食品生产许可审批权限的通知》。</w:t>
            </w:r>
          </w:p>
        </w:tc>
        <w:tc>
          <w:tcPr>
            <w:tcW w:w="601"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市级市场监管部门或行政审批局</w:t>
            </w:r>
          </w:p>
        </w:tc>
        <w:tc>
          <w:tcPr>
            <w:tcW w:w="218" w:type="pct"/>
            <w:tcBorders>
              <w:top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p>
        </w:tc>
      </w:tr>
      <w:tr>
        <w:tblPrEx>
          <w:tblCellMar>
            <w:top w:w="15" w:type="dxa"/>
            <w:left w:w="108" w:type="dxa"/>
            <w:bottom w:w="15" w:type="dxa"/>
            <w:right w:w="108" w:type="dxa"/>
          </w:tblCellMar>
        </w:tblPrEx>
        <w:trPr>
          <w:trHeight w:val="1304" w:hRule="atLeast"/>
          <w:jc w:val="center"/>
        </w:trPr>
        <w:tc>
          <w:tcPr>
            <w:tcW w:w="225"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536</w:t>
            </w:r>
          </w:p>
        </w:tc>
        <w:tc>
          <w:tcPr>
            <w:tcW w:w="805"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食品生产加工小作坊登记</w:t>
            </w:r>
          </w:p>
        </w:tc>
        <w:tc>
          <w:tcPr>
            <w:tcW w:w="467"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县级、乡级</w:t>
            </w:r>
          </w:p>
        </w:tc>
        <w:tc>
          <w:tcPr>
            <w:tcW w:w="1604"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负责食品生产加工小作坊登记（县级权限已依法赋权乡镇和街道实施）。</w:t>
            </w:r>
          </w:p>
        </w:tc>
        <w:tc>
          <w:tcPr>
            <w:tcW w:w="1078" w:type="pct"/>
            <w:tcBorders>
              <w:top w:val="single" w:color="000000" w:sz="4" w:space="0"/>
              <w:left w:val="single" w:color="000000" w:sz="4" w:space="0"/>
              <w:bottom w:val="single" w:color="000000" w:sz="4" w:space="0"/>
            </w:tcBorders>
            <w:shd w:val="clear" w:color="auto" w:fill="auto"/>
            <w:tcMar>
              <w:top w:w="57" w:type="dxa"/>
              <w:left w:w="57" w:type="dxa"/>
              <w:bottom w:w="57" w:type="dxa"/>
              <w:right w:w="57" w:type="dxa"/>
            </w:tcMar>
            <w:vAlign w:val="center"/>
          </w:tcPr>
          <w:p>
            <w:pPr>
              <w:adjustRightInd w:val="0"/>
              <w:snapToGrid w:val="0"/>
              <w:rPr>
                <w:rFonts w:hint="eastAsia" w:asciiTheme="minorEastAsia" w:hAnsiTheme="minorEastAsia" w:eastAsiaTheme="minorEastAsia"/>
                <w:kern w:val="0"/>
                <w:sz w:val="21"/>
                <w:szCs w:val="21"/>
                <w:lang w:eastAsia="zh-CN"/>
              </w:rPr>
            </w:pPr>
            <w:r>
              <w:rPr>
                <w:rFonts w:hint="eastAsia" w:asciiTheme="minorEastAsia" w:hAnsiTheme="minorEastAsia" w:eastAsiaTheme="minorEastAsia"/>
                <w:kern w:val="0"/>
                <w:sz w:val="21"/>
                <w:szCs w:val="21"/>
              </w:rPr>
              <w:t>1.《中华人民共和国食品安全法》第三十六条；</w:t>
            </w:r>
          </w:p>
          <w:p>
            <w:pPr>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2.《河北省食品小作坊小餐饮小摊点管理条例》第四条。</w:t>
            </w:r>
          </w:p>
        </w:tc>
        <w:tc>
          <w:tcPr>
            <w:tcW w:w="601"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县级市场监管部门或行政审批局</w:t>
            </w:r>
          </w:p>
        </w:tc>
        <w:tc>
          <w:tcPr>
            <w:tcW w:w="218"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p>
        </w:tc>
      </w:tr>
      <w:tr>
        <w:tblPrEx>
          <w:tblCellMar>
            <w:top w:w="15" w:type="dxa"/>
            <w:left w:w="108" w:type="dxa"/>
            <w:bottom w:w="15" w:type="dxa"/>
            <w:right w:w="108" w:type="dxa"/>
          </w:tblCellMar>
        </w:tblPrEx>
        <w:trPr>
          <w:trHeight w:val="964" w:hRule="atLeast"/>
          <w:jc w:val="center"/>
        </w:trPr>
        <w:tc>
          <w:tcPr>
            <w:tcW w:w="225"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537</w:t>
            </w:r>
          </w:p>
        </w:tc>
        <w:tc>
          <w:tcPr>
            <w:tcW w:w="805"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个体工商户注册、变更、注销登记</w:t>
            </w:r>
          </w:p>
        </w:tc>
        <w:tc>
          <w:tcPr>
            <w:tcW w:w="467"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县级、乡级</w:t>
            </w:r>
          </w:p>
        </w:tc>
        <w:tc>
          <w:tcPr>
            <w:tcW w:w="1604"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负责个体工商户注册、变更、注销登记（县级权限已依法赋权乡镇和街道实施）。</w:t>
            </w:r>
          </w:p>
        </w:tc>
        <w:tc>
          <w:tcPr>
            <w:tcW w:w="1078" w:type="pct"/>
            <w:tcBorders>
              <w:top w:val="single" w:color="000000" w:sz="4" w:space="0"/>
              <w:left w:val="single" w:color="000000" w:sz="4" w:space="0"/>
              <w:bottom w:val="single" w:color="000000" w:sz="4" w:space="0"/>
            </w:tcBorders>
            <w:shd w:val="clear" w:color="auto" w:fill="auto"/>
            <w:tcMar>
              <w:top w:w="57" w:type="dxa"/>
              <w:left w:w="57" w:type="dxa"/>
              <w:bottom w:w="57" w:type="dxa"/>
              <w:right w:w="57" w:type="dxa"/>
            </w:tcMar>
            <w:vAlign w:val="center"/>
          </w:tcPr>
          <w:p>
            <w:pPr>
              <w:adjustRightInd w:val="0"/>
              <w:snapToGrid w:val="0"/>
              <w:rPr>
                <w:rFonts w:hint="eastAsia" w:asciiTheme="minorEastAsia" w:hAnsiTheme="minorEastAsia" w:eastAsiaTheme="minorEastAsia"/>
                <w:kern w:val="0"/>
                <w:sz w:val="21"/>
                <w:szCs w:val="21"/>
                <w:lang w:eastAsia="zh-CN"/>
              </w:rPr>
            </w:pPr>
            <w:r>
              <w:rPr>
                <w:rFonts w:hint="eastAsia" w:asciiTheme="minorEastAsia" w:hAnsiTheme="minorEastAsia" w:eastAsiaTheme="minorEastAsia"/>
                <w:kern w:val="0"/>
                <w:sz w:val="21"/>
                <w:szCs w:val="21"/>
              </w:rPr>
              <w:t>1.《个体工商户条例》第三条；</w:t>
            </w:r>
          </w:p>
          <w:p>
            <w:pPr>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2.《个体工商户登记管理办法》第五条。</w:t>
            </w:r>
          </w:p>
        </w:tc>
        <w:tc>
          <w:tcPr>
            <w:tcW w:w="601"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县级市场监管部门或行政审批局</w:t>
            </w:r>
          </w:p>
        </w:tc>
        <w:tc>
          <w:tcPr>
            <w:tcW w:w="218"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p>
        </w:tc>
      </w:tr>
      <w:tr>
        <w:tblPrEx>
          <w:tblCellMar>
            <w:top w:w="15" w:type="dxa"/>
            <w:left w:w="108" w:type="dxa"/>
            <w:bottom w:w="15" w:type="dxa"/>
            <w:right w:w="108" w:type="dxa"/>
          </w:tblCellMar>
        </w:tblPrEx>
        <w:trPr>
          <w:trHeight w:val="794" w:hRule="atLeast"/>
          <w:jc w:val="center"/>
        </w:trPr>
        <w:tc>
          <w:tcPr>
            <w:tcW w:w="225"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538</w:t>
            </w:r>
          </w:p>
        </w:tc>
        <w:tc>
          <w:tcPr>
            <w:tcW w:w="805"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农民专业合作社设立、变更、注销登记</w:t>
            </w:r>
          </w:p>
        </w:tc>
        <w:tc>
          <w:tcPr>
            <w:tcW w:w="467"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县级、乡级</w:t>
            </w:r>
          </w:p>
        </w:tc>
        <w:tc>
          <w:tcPr>
            <w:tcW w:w="1604"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负责农民专业合作社设立、变更、注销登记（县级权限已依法赋权乡镇和街道实施）。</w:t>
            </w:r>
          </w:p>
        </w:tc>
        <w:tc>
          <w:tcPr>
            <w:tcW w:w="1078" w:type="pct"/>
            <w:tcBorders>
              <w:top w:val="single" w:color="000000" w:sz="4" w:space="0"/>
              <w:left w:val="single" w:color="000000" w:sz="4" w:space="0"/>
              <w:bottom w:val="single" w:color="000000" w:sz="4" w:space="0"/>
            </w:tcBorders>
            <w:shd w:val="clear" w:color="auto" w:fill="auto"/>
            <w:tcMar>
              <w:top w:w="57" w:type="dxa"/>
              <w:left w:w="57" w:type="dxa"/>
              <w:bottom w:w="57" w:type="dxa"/>
              <w:right w:w="57" w:type="dxa"/>
            </w:tcMar>
            <w:vAlign w:val="center"/>
          </w:tcPr>
          <w:p>
            <w:pPr>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《农民专业合作社登记管理条例》第四条。</w:t>
            </w:r>
          </w:p>
        </w:tc>
        <w:tc>
          <w:tcPr>
            <w:tcW w:w="601"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县级市场监管部门或行政审批局</w:t>
            </w:r>
          </w:p>
        </w:tc>
        <w:tc>
          <w:tcPr>
            <w:tcW w:w="218"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p>
        </w:tc>
      </w:tr>
      <w:tr>
        <w:tblPrEx>
          <w:tblCellMar>
            <w:top w:w="15" w:type="dxa"/>
            <w:left w:w="108" w:type="dxa"/>
            <w:bottom w:w="15" w:type="dxa"/>
            <w:right w:w="108" w:type="dxa"/>
          </w:tblCellMar>
        </w:tblPrEx>
        <w:trPr>
          <w:trHeight w:val="2551" w:hRule="atLeast"/>
          <w:jc w:val="center"/>
        </w:trPr>
        <w:tc>
          <w:tcPr>
            <w:tcW w:w="225"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color w:val="000000"/>
                <w:kern w:val="0"/>
                <w:sz w:val="21"/>
                <w:szCs w:val="21"/>
              </w:rPr>
              <w:t>539</w:t>
            </w:r>
          </w:p>
        </w:tc>
        <w:tc>
          <w:tcPr>
            <w:tcW w:w="805"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color w:val="000000"/>
                <w:kern w:val="0"/>
                <w:sz w:val="21"/>
                <w:szCs w:val="21"/>
              </w:rPr>
              <w:t>特种设备作业人员资格认定</w:t>
            </w:r>
          </w:p>
        </w:tc>
        <w:tc>
          <w:tcPr>
            <w:tcW w:w="467"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color w:val="000000"/>
                <w:kern w:val="0"/>
                <w:sz w:val="21"/>
                <w:szCs w:val="21"/>
              </w:rPr>
              <w:t>市级</w:t>
            </w:r>
          </w:p>
        </w:tc>
        <w:tc>
          <w:tcPr>
            <w:tcW w:w="1604"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color w:val="000000"/>
                <w:kern w:val="0"/>
                <w:sz w:val="21"/>
                <w:szCs w:val="21"/>
              </w:rPr>
              <w:t>负责市域内特种设备作业人员资格认定。</w:t>
            </w:r>
          </w:p>
        </w:tc>
        <w:tc>
          <w:tcPr>
            <w:tcW w:w="1078" w:type="pct"/>
            <w:tcBorders>
              <w:top w:val="single" w:color="000000" w:sz="4" w:space="0"/>
              <w:left w:val="single" w:color="000000" w:sz="4" w:space="0"/>
              <w:bottom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hint="eastAsia" w:asciiTheme="minorEastAsia" w:hAnsiTheme="minorEastAsia" w:eastAsiaTheme="minorEastAsia"/>
                <w:color w:val="000000"/>
                <w:kern w:val="0"/>
                <w:sz w:val="21"/>
                <w:szCs w:val="21"/>
                <w:lang w:eastAsia="zh-CN"/>
              </w:rPr>
            </w:pPr>
            <w:r>
              <w:rPr>
                <w:rFonts w:hint="eastAsia" w:asciiTheme="minorEastAsia" w:hAnsiTheme="minorEastAsia" w:eastAsiaTheme="minorEastAsia"/>
                <w:color w:val="000000"/>
                <w:kern w:val="0"/>
                <w:sz w:val="21"/>
                <w:szCs w:val="21"/>
              </w:rPr>
              <w:t>1.《特种设备作业人员监督管理办法》第六条；</w:t>
            </w:r>
          </w:p>
          <w:p>
            <w:pPr>
              <w:widowControl/>
              <w:adjustRightInd w:val="0"/>
              <w:snapToGrid w:val="0"/>
              <w:rPr>
                <w:rFonts w:hint="eastAsia" w:asciiTheme="minorEastAsia" w:hAnsiTheme="minorEastAsia" w:eastAsiaTheme="minorEastAsia"/>
                <w:color w:val="000000"/>
                <w:kern w:val="0"/>
                <w:sz w:val="21"/>
                <w:szCs w:val="21"/>
                <w:lang w:eastAsia="zh-CN"/>
              </w:rPr>
            </w:pPr>
            <w:r>
              <w:rPr>
                <w:rFonts w:hint="eastAsia" w:asciiTheme="minorEastAsia" w:hAnsiTheme="minorEastAsia" w:eastAsiaTheme="minorEastAsia"/>
                <w:color w:val="000000"/>
                <w:kern w:val="0"/>
                <w:sz w:val="21"/>
                <w:szCs w:val="21"/>
              </w:rPr>
              <w:t>2.《特种设备作业人员考核规则》第四条；</w:t>
            </w:r>
          </w:p>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color w:val="000000"/>
                <w:kern w:val="0"/>
                <w:sz w:val="21"/>
                <w:szCs w:val="21"/>
              </w:rPr>
              <w:t>3.《河北省市场监督管理局关于做好市场监管总局特种设备行政许可改革衔接工作的通知》。</w:t>
            </w:r>
          </w:p>
        </w:tc>
        <w:tc>
          <w:tcPr>
            <w:tcW w:w="601"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color w:val="000000"/>
                <w:kern w:val="0"/>
                <w:sz w:val="21"/>
                <w:szCs w:val="21"/>
              </w:rPr>
              <w:t>市级市场监管部门或行政审批局</w:t>
            </w:r>
          </w:p>
        </w:tc>
        <w:tc>
          <w:tcPr>
            <w:tcW w:w="218" w:type="pct"/>
            <w:tcBorders>
              <w:top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p>
        </w:tc>
      </w:tr>
      <w:tr>
        <w:tblPrEx>
          <w:tblCellMar>
            <w:top w:w="15" w:type="dxa"/>
            <w:left w:w="108" w:type="dxa"/>
            <w:bottom w:w="15" w:type="dxa"/>
            <w:right w:w="108" w:type="dxa"/>
          </w:tblCellMar>
        </w:tblPrEx>
        <w:trPr>
          <w:trHeight w:val="907" w:hRule="atLeast"/>
          <w:jc w:val="center"/>
        </w:trPr>
        <w:tc>
          <w:tcPr>
            <w:tcW w:w="225"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540</w:t>
            </w:r>
          </w:p>
        </w:tc>
        <w:tc>
          <w:tcPr>
            <w:tcW w:w="805"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食品小餐饮登记</w:t>
            </w:r>
          </w:p>
        </w:tc>
        <w:tc>
          <w:tcPr>
            <w:tcW w:w="467"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县级、乡级</w:t>
            </w:r>
          </w:p>
        </w:tc>
        <w:tc>
          <w:tcPr>
            <w:tcW w:w="1604"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负责食品小餐饮登记（县级权限已依法赋权乡镇和街道实施）。</w:t>
            </w:r>
          </w:p>
        </w:tc>
        <w:tc>
          <w:tcPr>
            <w:tcW w:w="1078" w:type="pct"/>
            <w:tcBorders>
              <w:top w:val="single" w:color="000000" w:sz="4" w:space="0"/>
              <w:left w:val="single" w:color="000000" w:sz="4" w:space="0"/>
              <w:bottom w:val="single" w:color="000000" w:sz="4" w:space="0"/>
            </w:tcBorders>
            <w:shd w:val="clear" w:color="auto" w:fill="auto"/>
            <w:tcMar>
              <w:top w:w="57" w:type="dxa"/>
              <w:left w:w="57" w:type="dxa"/>
              <w:bottom w:w="57" w:type="dxa"/>
              <w:right w:w="57" w:type="dxa"/>
            </w:tcMar>
            <w:vAlign w:val="center"/>
          </w:tcPr>
          <w:p>
            <w:pPr>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《河北省食品小作坊小餐饮小摊点管理条例》第二十五条。</w:t>
            </w:r>
          </w:p>
        </w:tc>
        <w:tc>
          <w:tcPr>
            <w:tcW w:w="601"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县级市场监管部门或行政审批局</w:t>
            </w:r>
          </w:p>
        </w:tc>
        <w:tc>
          <w:tcPr>
            <w:tcW w:w="218"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p>
        </w:tc>
      </w:tr>
      <w:tr>
        <w:tblPrEx>
          <w:tblCellMar>
            <w:top w:w="15" w:type="dxa"/>
            <w:left w:w="108" w:type="dxa"/>
            <w:bottom w:w="15" w:type="dxa"/>
            <w:right w:w="108" w:type="dxa"/>
          </w:tblCellMar>
        </w:tblPrEx>
        <w:trPr>
          <w:trHeight w:val="1134" w:hRule="atLeast"/>
          <w:jc w:val="center"/>
        </w:trPr>
        <w:tc>
          <w:tcPr>
            <w:tcW w:w="225"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541</w:t>
            </w:r>
          </w:p>
        </w:tc>
        <w:tc>
          <w:tcPr>
            <w:tcW w:w="805" w:type="pct"/>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特种设备检验、检测人员资格认定</w:t>
            </w:r>
          </w:p>
        </w:tc>
        <w:tc>
          <w:tcPr>
            <w:tcW w:w="467" w:type="pct"/>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省级</w:t>
            </w:r>
          </w:p>
        </w:tc>
        <w:tc>
          <w:tcPr>
            <w:tcW w:w="1604" w:type="pct"/>
            <w:tcBorders>
              <w:top w:val="single" w:color="231F20" w:sz="4" w:space="0"/>
              <w:left w:val="single" w:color="231F20" w:sz="4" w:space="0"/>
              <w:bottom w:val="single" w:color="231F20" w:sz="4" w:space="0"/>
              <w:right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负责特种设备检验、检测人员资格认定。</w:t>
            </w:r>
          </w:p>
        </w:tc>
        <w:tc>
          <w:tcPr>
            <w:tcW w:w="1078" w:type="pct"/>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《市场监管总局关于特种设备行政许可有关事项的公告》。</w:t>
            </w:r>
          </w:p>
        </w:tc>
        <w:tc>
          <w:tcPr>
            <w:tcW w:w="601"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省市场监管局</w:t>
            </w:r>
          </w:p>
        </w:tc>
        <w:tc>
          <w:tcPr>
            <w:tcW w:w="218" w:type="pct"/>
            <w:tcBorders>
              <w:top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p>
        </w:tc>
      </w:tr>
      <w:tr>
        <w:tblPrEx>
          <w:tblCellMar>
            <w:top w:w="15" w:type="dxa"/>
            <w:left w:w="108" w:type="dxa"/>
            <w:bottom w:w="15" w:type="dxa"/>
            <w:right w:w="108" w:type="dxa"/>
          </w:tblCellMar>
        </w:tblPrEx>
        <w:trPr>
          <w:trHeight w:val="794" w:hRule="atLeast"/>
          <w:jc w:val="center"/>
        </w:trPr>
        <w:tc>
          <w:tcPr>
            <w:tcW w:w="225" w:type="pct"/>
            <w:vMerge w:val="restar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542</w:t>
            </w:r>
          </w:p>
        </w:tc>
        <w:tc>
          <w:tcPr>
            <w:tcW w:w="805" w:type="pct"/>
            <w:vMerge w:val="restart"/>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企业设立、变更、注销登记</w:t>
            </w:r>
          </w:p>
        </w:tc>
        <w:tc>
          <w:tcPr>
            <w:tcW w:w="467" w:type="pct"/>
            <w:vMerge w:val="restart"/>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省级、市级、县级、乡级</w:t>
            </w:r>
          </w:p>
        </w:tc>
        <w:tc>
          <w:tcPr>
            <w:tcW w:w="1604" w:type="pct"/>
            <w:tcBorders>
              <w:top w:val="single" w:color="231F20" w:sz="4" w:space="0"/>
              <w:left w:val="single" w:color="231F20" w:sz="4" w:space="0"/>
              <w:bottom w:val="single" w:color="231F20" w:sz="4" w:space="0"/>
              <w:right w:val="single" w:color="231F20" w:sz="4" w:space="0"/>
            </w:tcBorders>
            <w:shd w:val="clear" w:color="auto" w:fill="auto"/>
            <w:tcMar>
              <w:top w:w="57" w:type="dxa"/>
              <w:left w:w="57" w:type="dxa"/>
              <w:bottom w:w="57" w:type="dxa"/>
              <w:right w:w="57" w:type="dxa"/>
            </w:tcMar>
            <w:vAlign w:val="center"/>
          </w:tcPr>
          <w:p>
            <w:pPr>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省级负责省政府授权出资或控股的企业以及国家市场监管总局授权或核转登记的企业。</w:t>
            </w:r>
          </w:p>
        </w:tc>
        <w:tc>
          <w:tcPr>
            <w:tcW w:w="1078" w:type="pct"/>
            <w:vMerge w:val="restart"/>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adjustRightInd w:val="0"/>
              <w:snapToGrid w:val="0"/>
              <w:rPr>
                <w:rFonts w:hint="eastAsia" w:asciiTheme="minorEastAsia" w:hAnsiTheme="minorEastAsia" w:eastAsiaTheme="minorEastAsia"/>
                <w:kern w:val="0"/>
                <w:sz w:val="21"/>
                <w:szCs w:val="21"/>
                <w:lang w:eastAsia="zh-CN"/>
              </w:rPr>
            </w:pPr>
            <w:r>
              <w:rPr>
                <w:rFonts w:hint="eastAsia" w:asciiTheme="minorEastAsia" w:hAnsiTheme="minorEastAsia" w:eastAsiaTheme="minorEastAsia"/>
                <w:kern w:val="0"/>
                <w:sz w:val="21"/>
                <w:szCs w:val="21"/>
              </w:rPr>
              <w:t>1.《公司登记管理条例》第七条、第八条；</w:t>
            </w:r>
          </w:p>
          <w:p>
            <w:pPr>
              <w:adjustRightInd w:val="0"/>
              <w:snapToGrid w:val="0"/>
              <w:rPr>
                <w:rFonts w:hint="eastAsia" w:asciiTheme="minorEastAsia" w:hAnsiTheme="minorEastAsia" w:eastAsiaTheme="minorEastAsia"/>
                <w:kern w:val="0"/>
                <w:sz w:val="21"/>
                <w:szCs w:val="21"/>
                <w:lang w:eastAsia="zh-CN"/>
              </w:rPr>
            </w:pPr>
            <w:r>
              <w:rPr>
                <w:rFonts w:hint="eastAsia" w:asciiTheme="minorEastAsia" w:hAnsiTheme="minorEastAsia" w:eastAsiaTheme="minorEastAsia"/>
                <w:kern w:val="0"/>
                <w:sz w:val="21"/>
                <w:szCs w:val="21"/>
              </w:rPr>
              <w:t>2.《企业法人登记管理条例》第五条；</w:t>
            </w:r>
          </w:p>
          <w:p>
            <w:pPr>
              <w:adjustRightInd w:val="0"/>
              <w:snapToGrid w:val="0"/>
              <w:rPr>
                <w:rFonts w:hint="eastAsia" w:asciiTheme="minorEastAsia" w:hAnsiTheme="minorEastAsia" w:eastAsiaTheme="minorEastAsia"/>
                <w:kern w:val="0"/>
                <w:sz w:val="21"/>
                <w:szCs w:val="21"/>
                <w:lang w:eastAsia="zh-CN"/>
              </w:rPr>
            </w:pPr>
            <w:r>
              <w:rPr>
                <w:rFonts w:hint="eastAsia" w:asciiTheme="minorEastAsia" w:hAnsiTheme="minorEastAsia" w:eastAsiaTheme="minorEastAsia"/>
                <w:kern w:val="0"/>
                <w:sz w:val="21"/>
                <w:szCs w:val="21"/>
              </w:rPr>
              <w:t>3.《合伙企业登记管理办法》第四条；</w:t>
            </w:r>
          </w:p>
          <w:p>
            <w:pPr>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4.《个人独资企业登记管理办法》第四条。</w:t>
            </w:r>
          </w:p>
        </w:tc>
        <w:tc>
          <w:tcPr>
            <w:tcW w:w="601"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省市场监管局</w:t>
            </w:r>
          </w:p>
        </w:tc>
        <w:tc>
          <w:tcPr>
            <w:tcW w:w="218" w:type="pct"/>
            <w:vMerge w:val="restart"/>
            <w:tcBorders>
              <w:top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p>
        </w:tc>
      </w:tr>
      <w:tr>
        <w:tblPrEx>
          <w:tblCellMar>
            <w:top w:w="15" w:type="dxa"/>
            <w:left w:w="108" w:type="dxa"/>
            <w:bottom w:w="15" w:type="dxa"/>
            <w:right w:w="108" w:type="dxa"/>
          </w:tblCellMar>
        </w:tblPrEx>
        <w:trPr>
          <w:trHeight w:val="794" w:hRule="atLeast"/>
          <w:jc w:val="center"/>
        </w:trPr>
        <w:tc>
          <w:tcPr>
            <w:tcW w:w="225" w:type="pct"/>
            <w:vMerge w:val="continue"/>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left"/>
              <w:rPr>
                <w:rFonts w:asciiTheme="minorEastAsia" w:hAnsiTheme="minorEastAsia" w:eastAsiaTheme="minorEastAsia"/>
                <w:kern w:val="0"/>
                <w:sz w:val="21"/>
                <w:szCs w:val="21"/>
              </w:rPr>
            </w:pPr>
          </w:p>
        </w:tc>
        <w:tc>
          <w:tcPr>
            <w:tcW w:w="805" w:type="pct"/>
            <w:vMerge w:val="continue"/>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p>
        </w:tc>
        <w:tc>
          <w:tcPr>
            <w:tcW w:w="467" w:type="pct"/>
            <w:vMerge w:val="continue"/>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jc w:val="left"/>
              <w:rPr>
                <w:rFonts w:asciiTheme="minorEastAsia" w:hAnsiTheme="minorEastAsia" w:eastAsiaTheme="minorEastAsia"/>
                <w:kern w:val="0"/>
                <w:sz w:val="21"/>
                <w:szCs w:val="21"/>
              </w:rPr>
            </w:pPr>
          </w:p>
        </w:tc>
        <w:tc>
          <w:tcPr>
            <w:tcW w:w="1604" w:type="pct"/>
            <w:vMerge w:val="restart"/>
            <w:tcBorders>
              <w:top w:val="single" w:color="231F20" w:sz="4" w:space="0"/>
              <w:left w:val="single" w:color="231F20" w:sz="4" w:space="0"/>
              <w:bottom w:val="single" w:color="231F20" w:sz="4" w:space="0"/>
              <w:right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市、县级各设区市市场监管部门、行政审批局根据登记管辖规定，合理确定本地市、县两级登记管辖范围（县级权限已依法赋权乡镇和街道实施）。</w:t>
            </w:r>
          </w:p>
        </w:tc>
        <w:tc>
          <w:tcPr>
            <w:tcW w:w="1078" w:type="pct"/>
            <w:vMerge w:val="continue"/>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p>
        </w:tc>
        <w:tc>
          <w:tcPr>
            <w:tcW w:w="601"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市级市场监管部门或行政审批局</w:t>
            </w:r>
          </w:p>
        </w:tc>
        <w:tc>
          <w:tcPr>
            <w:tcW w:w="218" w:type="pct"/>
            <w:vMerge w:val="continue"/>
            <w:tcBorders>
              <w:top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left"/>
              <w:rPr>
                <w:rFonts w:asciiTheme="minorEastAsia" w:hAnsiTheme="minorEastAsia" w:eastAsiaTheme="minorEastAsia"/>
                <w:kern w:val="0"/>
                <w:sz w:val="21"/>
                <w:szCs w:val="21"/>
              </w:rPr>
            </w:pPr>
          </w:p>
        </w:tc>
      </w:tr>
      <w:tr>
        <w:tblPrEx>
          <w:tblCellMar>
            <w:top w:w="15" w:type="dxa"/>
            <w:left w:w="108" w:type="dxa"/>
            <w:bottom w:w="15" w:type="dxa"/>
            <w:right w:w="108" w:type="dxa"/>
          </w:tblCellMar>
        </w:tblPrEx>
        <w:trPr>
          <w:trHeight w:val="794" w:hRule="atLeast"/>
          <w:jc w:val="center"/>
        </w:trPr>
        <w:tc>
          <w:tcPr>
            <w:tcW w:w="225" w:type="pct"/>
            <w:vMerge w:val="continue"/>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left"/>
              <w:rPr>
                <w:rFonts w:asciiTheme="minorEastAsia" w:hAnsiTheme="minorEastAsia" w:eastAsiaTheme="minorEastAsia"/>
                <w:kern w:val="0"/>
                <w:sz w:val="21"/>
                <w:szCs w:val="21"/>
              </w:rPr>
            </w:pPr>
          </w:p>
        </w:tc>
        <w:tc>
          <w:tcPr>
            <w:tcW w:w="805" w:type="pct"/>
            <w:vMerge w:val="continue"/>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p>
        </w:tc>
        <w:tc>
          <w:tcPr>
            <w:tcW w:w="467" w:type="pct"/>
            <w:vMerge w:val="continue"/>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jc w:val="left"/>
              <w:rPr>
                <w:rFonts w:asciiTheme="minorEastAsia" w:hAnsiTheme="minorEastAsia" w:eastAsiaTheme="minorEastAsia"/>
                <w:kern w:val="0"/>
                <w:sz w:val="21"/>
                <w:szCs w:val="21"/>
              </w:rPr>
            </w:pPr>
          </w:p>
        </w:tc>
        <w:tc>
          <w:tcPr>
            <w:tcW w:w="1604" w:type="pct"/>
            <w:vMerge w:val="continue"/>
            <w:tcBorders>
              <w:top w:val="single" w:color="231F20" w:sz="4" w:space="0"/>
              <w:left w:val="single" w:color="231F20" w:sz="4" w:space="0"/>
              <w:bottom w:val="single" w:color="231F20" w:sz="4" w:space="0"/>
              <w:right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p>
        </w:tc>
        <w:tc>
          <w:tcPr>
            <w:tcW w:w="1078" w:type="pct"/>
            <w:vMerge w:val="continue"/>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p>
        </w:tc>
        <w:tc>
          <w:tcPr>
            <w:tcW w:w="601"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县级市场监管部门或行政审批局</w:t>
            </w:r>
          </w:p>
        </w:tc>
        <w:tc>
          <w:tcPr>
            <w:tcW w:w="218" w:type="pct"/>
            <w:vMerge w:val="continue"/>
            <w:tcBorders>
              <w:top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left"/>
              <w:rPr>
                <w:rFonts w:asciiTheme="minorEastAsia" w:hAnsiTheme="minorEastAsia" w:eastAsiaTheme="minorEastAsia"/>
                <w:kern w:val="0"/>
                <w:sz w:val="21"/>
                <w:szCs w:val="21"/>
              </w:rPr>
            </w:pPr>
          </w:p>
        </w:tc>
      </w:tr>
      <w:tr>
        <w:tblPrEx>
          <w:tblCellMar>
            <w:top w:w="15" w:type="dxa"/>
            <w:left w:w="108" w:type="dxa"/>
            <w:bottom w:w="15" w:type="dxa"/>
            <w:right w:w="108" w:type="dxa"/>
          </w:tblCellMar>
        </w:tblPrEx>
        <w:trPr>
          <w:trHeight w:val="794" w:hRule="atLeast"/>
          <w:jc w:val="center"/>
        </w:trPr>
        <w:tc>
          <w:tcPr>
            <w:tcW w:w="225"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543</w:t>
            </w:r>
          </w:p>
        </w:tc>
        <w:tc>
          <w:tcPr>
            <w:tcW w:w="805" w:type="pct"/>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计量器具型式批准</w:t>
            </w:r>
          </w:p>
        </w:tc>
        <w:tc>
          <w:tcPr>
            <w:tcW w:w="467" w:type="pct"/>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省级</w:t>
            </w:r>
          </w:p>
        </w:tc>
        <w:tc>
          <w:tcPr>
            <w:tcW w:w="1604"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负责计量器具型式批准。</w:t>
            </w:r>
          </w:p>
        </w:tc>
        <w:tc>
          <w:tcPr>
            <w:tcW w:w="1078" w:type="pct"/>
            <w:tcBorders>
              <w:top w:val="single" w:color="000000" w:sz="4" w:space="0"/>
              <w:left w:val="single" w:color="000000" w:sz="4" w:space="0"/>
              <w:bottom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《计量器具新产品管理办法》第五条。</w:t>
            </w:r>
          </w:p>
        </w:tc>
        <w:tc>
          <w:tcPr>
            <w:tcW w:w="601"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省市场监管局</w:t>
            </w:r>
          </w:p>
        </w:tc>
        <w:tc>
          <w:tcPr>
            <w:tcW w:w="218" w:type="pct"/>
            <w:tcBorders>
              <w:top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p>
        </w:tc>
      </w:tr>
      <w:tr>
        <w:tblPrEx>
          <w:tblCellMar>
            <w:top w:w="15" w:type="dxa"/>
            <w:left w:w="108" w:type="dxa"/>
            <w:bottom w:w="15" w:type="dxa"/>
            <w:right w:w="108" w:type="dxa"/>
          </w:tblCellMar>
        </w:tblPrEx>
        <w:trPr>
          <w:trHeight w:val="1247" w:hRule="atLeast"/>
          <w:jc w:val="center"/>
        </w:trPr>
        <w:tc>
          <w:tcPr>
            <w:tcW w:w="225" w:type="pct"/>
            <w:vMerge w:val="restar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544</w:t>
            </w:r>
          </w:p>
        </w:tc>
        <w:tc>
          <w:tcPr>
            <w:tcW w:w="805" w:type="pct"/>
            <w:vMerge w:val="restart"/>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计量标准器具核准</w:t>
            </w:r>
          </w:p>
        </w:tc>
        <w:tc>
          <w:tcPr>
            <w:tcW w:w="467" w:type="pct"/>
            <w:vMerge w:val="restart"/>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省级、市级、县级</w:t>
            </w:r>
          </w:p>
        </w:tc>
        <w:tc>
          <w:tcPr>
            <w:tcW w:w="1604"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省级负责市级市场监督管理部门组织建立的各项最高等级的社会公用计量标准及省有关部门所属的企业、事业单位建立的各项最高等级的计量标准的核准。</w:t>
            </w:r>
          </w:p>
        </w:tc>
        <w:tc>
          <w:tcPr>
            <w:tcW w:w="1078" w:type="pct"/>
            <w:vMerge w:val="restart"/>
            <w:tcBorders>
              <w:top w:val="single" w:color="000000" w:sz="4" w:space="0"/>
              <w:left w:val="single" w:color="000000" w:sz="4" w:space="0"/>
              <w:bottom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《计量标准考核办法》第五条。</w:t>
            </w:r>
          </w:p>
        </w:tc>
        <w:tc>
          <w:tcPr>
            <w:tcW w:w="601"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省市场监管局</w:t>
            </w:r>
          </w:p>
        </w:tc>
        <w:tc>
          <w:tcPr>
            <w:tcW w:w="218" w:type="pct"/>
            <w:vMerge w:val="restart"/>
            <w:tcBorders>
              <w:top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p>
        </w:tc>
      </w:tr>
      <w:tr>
        <w:tblPrEx>
          <w:tblCellMar>
            <w:top w:w="15" w:type="dxa"/>
            <w:left w:w="108" w:type="dxa"/>
            <w:bottom w:w="15" w:type="dxa"/>
            <w:right w:w="108" w:type="dxa"/>
          </w:tblCellMar>
        </w:tblPrEx>
        <w:trPr>
          <w:trHeight w:val="1247" w:hRule="atLeast"/>
          <w:jc w:val="center"/>
        </w:trPr>
        <w:tc>
          <w:tcPr>
            <w:tcW w:w="225" w:type="pct"/>
            <w:vMerge w:val="continue"/>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left"/>
              <w:rPr>
                <w:rFonts w:asciiTheme="minorEastAsia" w:hAnsiTheme="minorEastAsia" w:eastAsiaTheme="minorEastAsia"/>
                <w:kern w:val="0"/>
                <w:sz w:val="21"/>
                <w:szCs w:val="21"/>
              </w:rPr>
            </w:pPr>
          </w:p>
        </w:tc>
        <w:tc>
          <w:tcPr>
            <w:tcW w:w="805" w:type="pct"/>
            <w:vMerge w:val="continue"/>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p>
        </w:tc>
        <w:tc>
          <w:tcPr>
            <w:tcW w:w="467" w:type="pct"/>
            <w:vMerge w:val="continue"/>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jc w:val="left"/>
              <w:rPr>
                <w:rFonts w:asciiTheme="minorEastAsia" w:hAnsiTheme="minorEastAsia" w:eastAsiaTheme="minorEastAsia"/>
                <w:kern w:val="0"/>
                <w:sz w:val="21"/>
                <w:szCs w:val="21"/>
              </w:rPr>
            </w:pPr>
          </w:p>
        </w:tc>
        <w:tc>
          <w:tcPr>
            <w:tcW w:w="1604"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市级负责县级市场监督管理部门组织建立的各项最高等级的社会公用计量标准及注册地无主管部门的企业单位建立的各项最高等级的计量标准的核准。</w:t>
            </w:r>
          </w:p>
        </w:tc>
        <w:tc>
          <w:tcPr>
            <w:tcW w:w="1078" w:type="pct"/>
            <w:vMerge w:val="continue"/>
            <w:tcBorders>
              <w:top w:val="single" w:color="000000" w:sz="4" w:space="0"/>
              <w:left w:val="single" w:color="000000" w:sz="4" w:space="0"/>
              <w:bottom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p>
        </w:tc>
        <w:tc>
          <w:tcPr>
            <w:tcW w:w="601"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市级市场监管部门或行政审批局</w:t>
            </w:r>
          </w:p>
        </w:tc>
        <w:tc>
          <w:tcPr>
            <w:tcW w:w="218" w:type="pct"/>
            <w:vMerge w:val="continue"/>
            <w:tcBorders>
              <w:top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left"/>
              <w:rPr>
                <w:rFonts w:asciiTheme="minorEastAsia" w:hAnsiTheme="minorEastAsia" w:eastAsiaTheme="minorEastAsia"/>
                <w:kern w:val="0"/>
                <w:sz w:val="21"/>
                <w:szCs w:val="21"/>
              </w:rPr>
            </w:pPr>
          </w:p>
        </w:tc>
      </w:tr>
      <w:tr>
        <w:tblPrEx>
          <w:tblCellMar>
            <w:top w:w="15" w:type="dxa"/>
            <w:left w:w="108" w:type="dxa"/>
            <w:bottom w:w="15" w:type="dxa"/>
            <w:right w:w="108" w:type="dxa"/>
          </w:tblCellMar>
        </w:tblPrEx>
        <w:trPr>
          <w:trHeight w:val="737" w:hRule="atLeast"/>
          <w:jc w:val="center"/>
        </w:trPr>
        <w:tc>
          <w:tcPr>
            <w:tcW w:w="225" w:type="pct"/>
            <w:vMerge w:val="continue"/>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left"/>
              <w:rPr>
                <w:rFonts w:asciiTheme="minorEastAsia" w:hAnsiTheme="minorEastAsia" w:eastAsiaTheme="minorEastAsia"/>
                <w:kern w:val="0"/>
                <w:sz w:val="21"/>
                <w:szCs w:val="21"/>
              </w:rPr>
            </w:pPr>
          </w:p>
        </w:tc>
        <w:tc>
          <w:tcPr>
            <w:tcW w:w="805" w:type="pct"/>
            <w:vMerge w:val="continue"/>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p>
        </w:tc>
        <w:tc>
          <w:tcPr>
            <w:tcW w:w="467" w:type="pct"/>
            <w:vMerge w:val="continue"/>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jc w:val="left"/>
              <w:rPr>
                <w:rFonts w:asciiTheme="minorEastAsia" w:hAnsiTheme="minorEastAsia" w:eastAsiaTheme="minorEastAsia"/>
                <w:kern w:val="0"/>
                <w:sz w:val="21"/>
                <w:szCs w:val="21"/>
              </w:rPr>
            </w:pPr>
          </w:p>
        </w:tc>
        <w:tc>
          <w:tcPr>
            <w:tcW w:w="1604"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县级负责主持考核所辖区建立其他等级社会公用计量标准的核准。</w:t>
            </w:r>
          </w:p>
        </w:tc>
        <w:tc>
          <w:tcPr>
            <w:tcW w:w="1078" w:type="pct"/>
            <w:vMerge w:val="continue"/>
            <w:tcBorders>
              <w:top w:val="single" w:color="000000" w:sz="4" w:space="0"/>
              <w:left w:val="single" w:color="000000" w:sz="4" w:space="0"/>
              <w:bottom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p>
        </w:tc>
        <w:tc>
          <w:tcPr>
            <w:tcW w:w="601"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县级市场监管部门或行政审批局</w:t>
            </w:r>
          </w:p>
        </w:tc>
        <w:tc>
          <w:tcPr>
            <w:tcW w:w="218" w:type="pct"/>
            <w:vMerge w:val="continue"/>
            <w:tcBorders>
              <w:top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left"/>
              <w:rPr>
                <w:rFonts w:asciiTheme="minorEastAsia" w:hAnsiTheme="minorEastAsia" w:eastAsiaTheme="minorEastAsia"/>
                <w:kern w:val="0"/>
                <w:sz w:val="21"/>
                <w:szCs w:val="21"/>
              </w:rPr>
            </w:pPr>
          </w:p>
        </w:tc>
      </w:tr>
      <w:tr>
        <w:tblPrEx>
          <w:tblCellMar>
            <w:top w:w="15" w:type="dxa"/>
            <w:left w:w="108" w:type="dxa"/>
            <w:bottom w:w="15" w:type="dxa"/>
            <w:right w:w="108" w:type="dxa"/>
          </w:tblCellMar>
        </w:tblPrEx>
        <w:trPr>
          <w:trHeight w:val="397" w:hRule="atLeast"/>
          <w:jc w:val="center"/>
        </w:trPr>
        <w:tc>
          <w:tcPr>
            <w:tcW w:w="225" w:type="pct"/>
            <w:vMerge w:val="restar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545</w:t>
            </w:r>
          </w:p>
        </w:tc>
        <w:tc>
          <w:tcPr>
            <w:tcW w:w="805" w:type="pct"/>
            <w:vMerge w:val="restart"/>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承担国家法定计量检定机构任务授权</w:t>
            </w:r>
          </w:p>
        </w:tc>
        <w:tc>
          <w:tcPr>
            <w:tcW w:w="467" w:type="pct"/>
            <w:vMerge w:val="restart"/>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省级、市级、县级</w:t>
            </w:r>
          </w:p>
        </w:tc>
        <w:tc>
          <w:tcPr>
            <w:tcW w:w="1604"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省级负责：（1）市场监督部门依法设置的省级以下(不含省级，下同)计量检定机构；（2）省级市场监督管理部门授权建立的计量检定机构。</w:t>
            </w:r>
          </w:p>
        </w:tc>
        <w:tc>
          <w:tcPr>
            <w:tcW w:w="1078" w:type="pct"/>
            <w:vMerge w:val="restart"/>
            <w:tcBorders>
              <w:top w:val="single" w:color="000000" w:sz="4" w:space="0"/>
              <w:left w:val="single" w:color="000000" w:sz="4" w:space="0"/>
              <w:bottom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《法定计量检定机构监督管理办法》第七条。</w:t>
            </w:r>
          </w:p>
        </w:tc>
        <w:tc>
          <w:tcPr>
            <w:tcW w:w="601"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省市场监管局</w:t>
            </w:r>
          </w:p>
        </w:tc>
        <w:tc>
          <w:tcPr>
            <w:tcW w:w="218" w:type="pct"/>
            <w:vMerge w:val="restart"/>
            <w:tcBorders>
              <w:top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p>
        </w:tc>
      </w:tr>
      <w:tr>
        <w:tblPrEx>
          <w:tblCellMar>
            <w:top w:w="15" w:type="dxa"/>
            <w:left w:w="108" w:type="dxa"/>
            <w:bottom w:w="15" w:type="dxa"/>
            <w:right w:w="108" w:type="dxa"/>
          </w:tblCellMar>
        </w:tblPrEx>
        <w:trPr>
          <w:trHeight w:val="567" w:hRule="atLeast"/>
          <w:jc w:val="center"/>
        </w:trPr>
        <w:tc>
          <w:tcPr>
            <w:tcW w:w="225" w:type="pct"/>
            <w:vMerge w:val="continue"/>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left"/>
              <w:rPr>
                <w:rFonts w:asciiTheme="minorEastAsia" w:hAnsiTheme="minorEastAsia" w:eastAsiaTheme="minorEastAsia"/>
                <w:kern w:val="0"/>
                <w:sz w:val="21"/>
                <w:szCs w:val="21"/>
              </w:rPr>
            </w:pPr>
          </w:p>
        </w:tc>
        <w:tc>
          <w:tcPr>
            <w:tcW w:w="805" w:type="pct"/>
            <w:vMerge w:val="continue"/>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p>
        </w:tc>
        <w:tc>
          <w:tcPr>
            <w:tcW w:w="467" w:type="pct"/>
            <w:vMerge w:val="continue"/>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jc w:val="left"/>
              <w:rPr>
                <w:rFonts w:asciiTheme="minorEastAsia" w:hAnsiTheme="minorEastAsia" w:eastAsiaTheme="minorEastAsia"/>
                <w:kern w:val="0"/>
                <w:sz w:val="21"/>
                <w:szCs w:val="21"/>
              </w:rPr>
            </w:pPr>
          </w:p>
        </w:tc>
        <w:tc>
          <w:tcPr>
            <w:tcW w:w="1604"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市级负责省级市场监督部门授权建立的计量检定机构。</w:t>
            </w:r>
          </w:p>
        </w:tc>
        <w:tc>
          <w:tcPr>
            <w:tcW w:w="1078" w:type="pct"/>
            <w:vMerge w:val="continue"/>
            <w:tcBorders>
              <w:top w:val="single" w:color="000000" w:sz="4" w:space="0"/>
              <w:left w:val="single" w:color="000000" w:sz="4" w:space="0"/>
              <w:bottom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p>
        </w:tc>
        <w:tc>
          <w:tcPr>
            <w:tcW w:w="601"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市级市场监管部门或行政审批局</w:t>
            </w:r>
          </w:p>
        </w:tc>
        <w:tc>
          <w:tcPr>
            <w:tcW w:w="218" w:type="pct"/>
            <w:vMerge w:val="continue"/>
            <w:tcBorders>
              <w:top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left"/>
              <w:rPr>
                <w:rFonts w:asciiTheme="minorEastAsia" w:hAnsiTheme="minorEastAsia" w:eastAsiaTheme="minorEastAsia"/>
                <w:kern w:val="0"/>
                <w:sz w:val="21"/>
                <w:szCs w:val="21"/>
              </w:rPr>
            </w:pPr>
          </w:p>
        </w:tc>
      </w:tr>
      <w:tr>
        <w:tblPrEx>
          <w:tblCellMar>
            <w:top w:w="15" w:type="dxa"/>
            <w:left w:w="108" w:type="dxa"/>
            <w:bottom w:w="15" w:type="dxa"/>
            <w:right w:w="108" w:type="dxa"/>
          </w:tblCellMar>
        </w:tblPrEx>
        <w:trPr>
          <w:trHeight w:val="567" w:hRule="atLeast"/>
          <w:jc w:val="center"/>
        </w:trPr>
        <w:tc>
          <w:tcPr>
            <w:tcW w:w="225" w:type="pct"/>
            <w:vMerge w:val="continue"/>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left"/>
              <w:rPr>
                <w:rFonts w:asciiTheme="minorEastAsia" w:hAnsiTheme="minorEastAsia" w:eastAsiaTheme="minorEastAsia"/>
                <w:kern w:val="0"/>
                <w:sz w:val="21"/>
                <w:szCs w:val="21"/>
              </w:rPr>
            </w:pPr>
          </w:p>
        </w:tc>
        <w:tc>
          <w:tcPr>
            <w:tcW w:w="805" w:type="pct"/>
            <w:vMerge w:val="continue"/>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p>
        </w:tc>
        <w:tc>
          <w:tcPr>
            <w:tcW w:w="467" w:type="pct"/>
            <w:vMerge w:val="continue"/>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jc w:val="left"/>
              <w:rPr>
                <w:rFonts w:asciiTheme="minorEastAsia" w:hAnsiTheme="minorEastAsia" w:eastAsiaTheme="minorEastAsia"/>
                <w:kern w:val="0"/>
                <w:sz w:val="21"/>
                <w:szCs w:val="21"/>
              </w:rPr>
            </w:pPr>
          </w:p>
        </w:tc>
        <w:tc>
          <w:tcPr>
            <w:tcW w:w="1604"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县级负责市级市场监督部门授权建立的计量检定机构。</w:t>
            </w:r>
          </w:p>
        </w:tc>
        <w:tc>
          <w:tcPr>
            <w:tcW w:w="1078" w:type="pct"/>
            <w:vMerge w:val="continue"/>
            <w:tcBorders>
              <w:top w:val="single" w:color="000000" w:sz="4" w:space="0"/>
              <w:left w:val="single" w:color="000000" w:sz="4" w:space="0"/>
              <w:bottom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p>
        </w:tc>
        <w:tc>
          <w:tcPr>
            <w:tcW w:w="601"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县级市场监管局或行政审批局</w:t>
            </w:r>
          </w:p>
        </w:tc>
        <w:tc>
          <w:tcPr>
            <w:tcW w:w="218" w:type="pct"/>
            <w:vMerge w:val="continue"/>
            <w:tcBorders>
              <w:top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left"/>
              <w:rPr>
                <w:rFonts w:asciiTheme="minorEastAsia" w:hAnsiTheme="minorEastAsia" w:eastAsiaTheme="minorEastAsia"/>
                <w:kern w:val="0"/>
                <w:sz w:val="21"/>
                <w:szCs w:val="21"/>
              </w:rPr>
            </w:pPr>
          </w:p>
        </w:tc>
      </w:tr>
      <w:tr>
        <w:tblPrEx>
          <w:tblCellMar>
            <w:top w:w="15" w:type="dxa"/>
            <w:left w:w="108" w:type="dxa"/>
            <w:bottom w:w="15" w:type="dxa"/>
            <w:right w:w="108" w:type="dxa"/>
          </w:tblCellMar>
        </w:tblPrEx>
        <w:trPr>
          <w:trHeight w:val="567" w:hRule="atLeast"/>
          <w:jc w:val="center"/>
        </w:trPr>
        <w:tc>
          <w:tcPr>
            <w:tcW w:w="225"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546</w:t>
            </w:r>
          </w:p>
        </w:tc>
        <w:tc>
          <w:tcPr>
            <w:tcW w:w="805" w:type="pct"/>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保健食品广告审批</w:t>
            </w:r>
          </w:p>
        </w:tc>
        <w:tc>
          <w:tcPr>
            <w:tcW w:w="467" w:type="pct"/>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省级</w:t>
            </w:r>
          </w:p>
        </w:tc>
        <w:tc>
          <w:tcPr>
            <w:tcW w:w="1604"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负责保健食品广告审查。</w:t>
            </w:r>
          </w:p>
        </w:tc>
        <w:tc>
          <w:tcPr>
            <w:tcW w:w="1078" w:type="pct"/>
            <w:tcBorders>
              <w:top w:val="single" w:color="000000" w:sz="4" w:space="0"/>
              <w:left w:val="single" w:color="000000" w:sz="4" w:space="0"/>
              <w:bottom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《药品、医疗器械、保健食品、特殊医学用途配方食品广告审查管理暂行办法》第四条、第十三条。</w:t>
            </w:r>
          </w:p>
        </w:tc>
        <w:tc>
          <w:tcPr>
            <w:tcW w:w="601"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省市场监管局</w:t>
            </w:r>
          </w:p>
        </w:tc>
        <w:tc>
          <w:tcPr>
            <w:tcW w:w="218" w:type="pct"/>
            <w:tcBorders>
              <w:top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p>
        </w:tc>
      </w:tr>
      <w:tr>
        <w:tblPrEx>
          <w:tblCellMar>
            <w:top w:w="15" w:type="dxa"/>
            <w:left w:w="108" w:type="dxa"/>
            <w:bottom w:w="15" w:type="dxa"/>
            <w:right w:w="108" w:type="dxa"/>
          </w:tblCellMar>
        </w:tblPrEx>
        <w:trPr>
          <w:trHeight w:val="567" w:hRule="atLeast"/>
          <w:jc w:val="center"/>
        </w:trPr>
        <w:tc>
          <w:tcPr>
            <w:tcW w:w="225"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547</w:t>
            </w:r>
          </w:p>
        </w:tc>
        <w:tc>
          <w:tcPr>
            <w:tcW w:w="805" w:type="pct"/>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特殊医学用途配方食品广告审批</w:t>
            </w:r>
          </w:p>
        </w:tc>
        <w:tc>
          <w:tcPr>
            <w:tcW w:w="467" w:type="pct"/>
            <w:tcBorders>
              <w:top w:val="single" w:color="231F20" w:sz="4" w:space="0"/>
              <w:left w:val="single" w:color="231F20" w:sz="4" w:space="0"/>
              <w:bottom w:val="single" w:color="231F2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省级</w:t>
            </w:r>
          </w:p>
        </w:tc>
        <w:tc>
          <w:tcPr>
            <w:tcW w:w="1604"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负责特殊医学用途配方食品广告审查。</w:t>
            </w:r>
          </w:p>
        </w:tc>
        <w:tc>
          <w:tcPr>
            <w:tcW w:w="1078" w:type="pct"/>
            <w:tcBorders>
              <w:top w:val="single" w:color="000000" w:sz="4" w:space="0"/>
              <w:left w:val="single" w:color="000000" w:sz="4" w:space="0"/>
              <w:bottom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《药品、医疗器械、保健食品、特殊医学用途配方食品广告审查管理暂行办法 》第四条。</w:t>
            </w:r>
          </w:p>
        </w:tc>
        <w:tc>
          <w:tcPr>
            <w:tcW w:w="601" w:type="pct"/>
            <w:tcBorders>
              <w:top w:val="single" w:color="000000" w:sz="4" w:space="0"/>
              <w:left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省市场监管局</w:t>
            </w:r>
          </w:p>
        </w:tc>
        <w:tc>
          <w:tcPr>
            <w:tcW w:w="218" w:type="pct"/>
            <w:tcBorders>
              <w:top w:val="single" w:color="000000" w:sz="4" w:space="0"/>
              <w:bottom w:val="single" w:color="000000" w:sz="4" w:space="0"/>
              <w:right w:val="single" w:color="000000" w:sz="4" w:space="0"/>
            </w:tcBorders>
            <w:shd w:val="clear" w:color="auto" w:fill="auto"/>
            <w:tcMar>
              <w:top w:w="57" w:type="dxa"/>
              <w:left w:w="57" w:type="dxa"/>
              <w:bottom w:w="57" w:type="dxa"/>
              <w:right w:w="57" w:type="dxa"/>
            </w:tcMar>
            <w:vAlign w:val="center"/>
          </w:tcPr>
          <w:p>
            <w:pPr>
              <w:widowControl/>
              <w:adjustRightInd w:val="0"/>
              <w:snapToGrid w:val="0"/>
              <w:jc w:val="center"/>
              <w:rPr>
                <w:rFonts w:asciiTheme="minorEastAsia" w:hAnsiTheme="minorEastAsia" w:eastAsiaTheme="minorEastAsia"/>
                <w:kern w:val="0"/>
                <w:sz w:val="21"/>
                <w:szCs w:val="21"/>
              </w:rPr>
            </w:pPr>
          </w:p>
        </w:tc>
      </w:tr>
    </w:tbl>
    <w:p>
      <w:pPr>
        <w:spacing w:line="14" w:lineRule="exact"/>
      </w:pPr>
    </w:p>
    <w:sectPr>
      <w:headerReference r:id="rId3" w:type="default"/>
      <w:footerReference r:id="rId4" w:type="default"/>
      <w:pgSz w:w="16838" w:h="11906" w:orient="landscape"/>
      <w:pgMar w:top="1418" w:right="1701" w:bottom="1418" w:left="1701" w:header="851" w:footer="1020" w:gutter="0"/>
      <w:pgBorders>
        <w:top w:val="none" w:sz="0" w:space="0"/>
        <w:left w:val="none" w:sz="0" w:space="0"/>
        <w:bottom w:val="none" w:sz="0" w:space="0"/>
        <w:right w:val="none" w:sz="0" w:space="0"/>
      </w:pgBorders>
      <w:pgNumType w:start="1"/>
      <w:cols w:space="425" w:num="1"/>
      <w:docGrid w:type="lines" w:linePitch="35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rFonts w:hint="eastAsia"/>
        <w:sz w:val="28"/>
        <w:szCs w:val="28"/>
      </w:rPr>
      <w:t>—</w:t>
    </w:r>
    <w:r>
      <w:rPr>
        <w:rFonts w:hint="eastAsia"/>
        <w:sz w:val="22"/>
        <w:szCs w:val="22"/>
      </w:rPr>
      <w:t>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lang w:val="zh-CN"/>
      </w:rPr>
      <w:t>1</w:t>
    </w:r>
    <w:r>
      <w:rPr>
        <w:rFonts w:hint="eastAsia"/>
        <w:sz w:val="28"/>
        <w:szCs w:val="28"/>
      </w:rPr>
      <w:fldChar w:fldCharType="end"/>
    </w:r>
    <w:r>
      <w:rPr>
        <w:rFonts w:hint="eastAsia"/>
        <w:sz w:val="22"/>
        <w:szCs w:val="22"/>
      </w:rPr>
      <w:t>　</w:t>
    </w:r>
    <w:r>
      <w:rPr>
        <w:rFonts w:hint="eastAsia"/>
        <w:sz w:val="28"/>
        <w:szCs w:val="28"/>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HorizontalSpacing w:val="130"/>
  <w:drawingGridVerticalSpacing w:val="177"/>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776D6B"/>
    <w:rsid w:val="00022E96"/>
    <w:rsid w:val="0003159F"/>
    <w:rsid w:val="0005643E"/>
    <w:rsid w:val="0006545E"/>
    <w:rsid w:val="00091A14"/>
    <w:rsid w:val="000A1FE4"/>
    <w:rsid w:val="000A3608"/>
    <w:rsid w:val="000E37A9"/>
    <w:rsid w:val="00145C7F"/>
    <w:rsid w:val="001655A3"/>
    <w:rsid w:val="00166141"/>
    <w:rsid w:val="001676B0"/>
    <w:rsid w:val="00172091"/>
    <w:rsid w:val="00187655"/>
    <w:rsid w:val="001A57A7"/>
    <w:rsid w:val="001B6E44"/>
    <w:rsid w:val="001C094C"/>
    <w:rsid w:val="001D710D"/>
    <w:rsid w:val="001F5199"/>
    <w:rsid w:val="00230F7D"/>
    <w:rsid w:val="002364D6"/>
    <w:rsid w:val="00237592"/>
    <w:rsid w:val="0025081E"/>
    <w:rsid w:val="00252524"/>
    <w:rsid w:val="0025497D"/>
    <w:rsid w:val="002571BD"/>
    <w:rsid w:val="00273949"/>
    <w:rsid w:val="002B2DE1"/>
    <w:rsid w:val="002B7065"/>
    <w:rsid w:val="002B7AB9"/>
    <w:rsid w:val="002E5190"/>
    <w:rsid w:val="00302CA2"/>
    <w:rsid w:val="003074B5"/>
    <w:rsid w:val="003156AA"/>
    <w:rsid w:val="0032117F"/>
    <w:rsid w:val="003246E1"/>
    <w:rsid w:val="00326250"/>
    <w:rsid w:val="003537D8"/>
    <w:rsid w:val="00396F34"/>
    <w:rsid w:val="003A0932"/>
    <w:rsid w:val="003A0979"/>
    <w:rsid w:val="003C090D"/>
    <w:rsid w:val="003F777C"/>
    <w:rsid w:val="004450BC"/>
    <w:rsid w:val="004B028C"/>
    <w:rsid w:val="004C1B37"/>
    <w:rsid w:val="004F577D"/>
    <w:rsid w:val="005012CA"/>
    <w:rsid w:val="00510239"/>
    <w:rsid w:val="00512A1F"/>
    <w:rsid w:val="005416E4"/>
    <w:rsid w:val="00570F15"/>
    <w:rsid w:val="005B1710"/>
    <w:rsid w:val="005C7DBB"/>
    <w:rsid w:val="005E1AB8"/>
    <w:rsid w:val="00653B29"/>
    <w:rsid w:val="00685B42"/>
    <w:rsid w:val="006866C1"/>
    <w:rsid w:val="0069035C"/>
    <w:rsid w:val="006B4E7E"/>
    <w:rsid w:val="00711BD3"/>
    <w:rsid w:val="00715549"/>
    <w:rsid w:val="00715FA8"/>
    <w:rsid w:val="00735FCF"/>
    <w:rsid w:val="00776D6B"/>
    <w:rsid w:val="007A4601"/>
    <w:rsid w:val="007A5B56"/>
    <w:rsid w:val="007F36D1"/>
    <w:rsid w:val="00801B64"/>
    <w:rsid w:val="00806971"/>
    <w:rsid w:val="00814C6F"/>
    <w:rsid w:val="00822086"/>
    <w:rsid w:val="008512A8"/>
    <w:rsid w:val="0088368C"/>
    <w:rsid w:val="00886F55"/>
    <w:rsid w:val="008B7CB1"/>
    <w:rsid w:val="008C74BB"/>
    <w:rsid w:val="008E1018"/>
    <w:rsid w:val="008F0C00"/>
    <w:rsid w:val="009122E9"/>
    <w:rsid w:val="00912F17"/>
    <w:rsid w:val="00921E17"/>
    <w:rsid w:val="00924AAE"/>
    <w:rsid w:val="009311D7"/>
    <w:rsid w:val="009474FF"/>
    <w:rsid w:val="009A48A9"/>
    <w:rsid w:val="009D1BFB"/>
    <w:rsid w:val="009D6AAE"/>
    <w:rsid w:val="009E44D7"/>
    <w:rsid w:val="00A05435"/>
    <w:rsid w:val="00A33CCF"/>
    <w:rsid w:val="00A546A8"/>
    <w:rsid w:val="00A714A9"/>
    <w:rsid w:val="00A71C47"/>
    <w:rsid w:val="00A90F62"/>
    <w:rsid w:val="00AC3C99"/>
    <w:rsid w:val="00AD5550"/>
    <w:rsid w:val="00B00979"/>
    <w:rsid w:val="00B14964"/>
    <w:rsid w:val="00B15FED"/>
    <w:rsid w:val="00B65BEE"/>
    <w:rsid w:val="00B87FEE"/>
    <w:rsid w:val="00B920CD"/>
    <w:rsid w:val="00B93496"/>
    <w:rsid w:val="00BB15FD"/>
    <w:rsid w:val="00BC6B2F"/>
    <w:rsid w:val="00BE1F87"/>
    <w:rsid w:val="00BF48A4"/>
    <w:rsid w:val="00C0465F"/>
    <w:rsid w:val="00C074D3"/>
    <w:rsid w:val="00C11628"/>
    <w:rsid w:val="00C212D5"/>
    <w:rsid w:val="00C32ADF"/>
    <w:rsid w:val="00C612D1"/>
    <w:rsid w:val="00C64576"/>
    <w:rsid w:val="00C93BF5"/>
    <w:rsid w:val="00C97095"/>
    <w:rsid w:val="00C97451"/>
    <w:rsid w:val="00CA2A03"/>
    <w:rsid w:val="00CB7C46"/>
    <w:rsid w:val="00D04ABD"/>
    <w:rsid w:val="00D25194"/>
    <w:rsid w:val="00D35127"/>
    <w:rsid w:val="00D4686D"/>
    <w:rsid w:val="00D50E3E"/>
    <w:rsid w:val="00D61A08"/>
    <w:rsid w:val="00D739F3"/>
    <w:rsid w:val="00D90AA7"/>
    <w:rsid w:val="00D93190"/>
    <w:rsid w:val="00D945C1"/>
    <w:rsid w:val="00DB0AD9"/>
    <w:rsid w:val="00DB1772"/>
    <w:rsid w:val="00DC3A82"/>
    <w:rsid w:val="00E1499A"/>
    <w:rsid w:val="00E32429"/>
    <w:rsid w:val="00E84C23"/>
    <w:rsid w:val="00E931ED"/>
    <w:rsid w:val="00E9419F"/>
    <w:rsid w:val="00ED5ED4"/>
    <w:rsid w:val="00EF669F"/>
    <w:rsid w:val="00F976A2"/>
    <w:rsid w:val="00FB2FFE"/>
    <w:rsid w:val="00FC78B1"/>
    <w:rsid w:val="00FE661D"/>
    <w:rsid w:val="00FF3087"/>
    <w:rsid w:val="016A5443"/>
    <w:rsid w:val="01DA287A"/>
    <w:rsid w:val="01EC1FC8"/>
    <w:rsid w:val="02A53C11"/>
    <w:rsid w:val="03C368F3"/>
    <w:rsid w:val="04280A68"/>
    <w:rsid w:val="049466EE"/>
    <w:rsid w:val="04C00391"/>
    <w:rsid w:val="06F97B4C"/>
    <w:rsid w:val="084043CD"/>
    <w:rsid w:val="0B54460D"/>
    <w:rsid w:val="0D647398"/>
    <w:rsid w:val="0D90657C"/>
    <w:rsid w:val="0F3D6994"/>
    <w:rsid w:val="0FB62B96"/>
    <w:rsid w:val="10041A34"/>
    <w:rsid w:val="10DA53EC"/>
    <w:rsid w:val="126F302C"/>
    <w:rsid w:val="127A2BE6"/>
    <w:rsid w:val="129E0CE5"/>
    <w:rsid w:val="12A94F14"/>
    <w:rsid w:val="12FA1480"/>
    <w:rsid w:val="13DE0204"/>
    <w:rsid w:val="14DE7A9A"/>
    <w:rsid w:val="170154C5"/>
    <w:rsid w:val="180C59B6"/>
    <w:rsid w:val="183E3C69"/>
    <w:rsid w:val="185801D4"/>
    <w:rsid w:val="18A859C0"/>
    <w:rsid w:val="18D90584"/>
    <w:rsid w:val="18DE2140"/>
    <w:rsid w:val="195E6A9A"/>
    <w:rsid w:val="1A4C1D51"/>
    <w:rsid w:val="1A89487E"/>
    <w:rsid w:val="1ACC1C6A"/>
    <w:rsid w:val="1B742CFF"/>
    <w:rsid w:val="1CC91417"/>
    <w:rsid w:val="1D832EC2"/>
    <w:rsid w:val="1F8C11CD"/>
    <w:rsid w:val="1FB24A5B"/>
    <w:rsid w:val="217312D6"/>
    <w:rsid w:val="21762373"/>
    <w:rsid w:val="21DB42A9"/>
    <w:rsid w:val="21DF230D"/>
    <w:rsid w:val="22ED5643"/>
    <w:rsid w:val="22FE04A3"/>
    <w:rsid w:val="233D15E6"/>
    <w:rsid w:val="23D77972"/>
    <w:rsid w:val="24317E17"/>
    <w:rsid w:val="257F155A"/>
    <w:rsid w:val="260405FC"/>
    <w:rsid w:val="268263E9"/>
    <w:rsid w:val="268C46A3"/>
    <w:rsid w:val="26E47633"/>
    <w:rsid w:val="27834DFB"/>
    <w:rsid w:val="2793604E"/>
    <w:rsid w:val="299A40EE"/>
    <w:rsid w:val="29EA5DF3"/>
    <w:rsid w:val="2A681C90"/>
    <w:rsid w:val="2A7B217C"/>
    <w:rsid w:val="2BCB3EF7"/>
    <w:rsid w:val="2BE54F02"/>
    <w:rsid w:val="2C534888"/>
    <w:rsid w:val="2E144BC7"/>
    <w:rsid w:val="2F233085"/>
    <w:rsid w:val="2F30169F"/>
    <w:rsid w:val="304E4AE0"/>
    <w:rsid w:val="30BD6DA2"/>
    <w:rsid w:val="318A76FA"/>
    <w:rsid w:val="33C01DD0"/>
    <w:rsid w:val="347F7280"/>
    <w:rsid w:val="348A00BC"/>
    <w:rsid w:val="36560040"/>
    <w:rsid w:val="37B807B6"/>
    <w:rsid w:val="388C2756"/>
    <w:rsid w:val="3B4E14F1"/>
    <w:rsid w:val="3B58647E"/>
    <w:rsid w:val="3C3932E8"/>
    <w:rsid w:val="3DAB4763"/>
    <w:rsid w:val="3E0B3033"/>
    <w:rsid w:val="3E2622D5"/>
    <w:rsid w:val="3F30682F"/>
    <w:rsid w:val="417255D4"/>
    <w:rsid w:val="4227050B"/>
    <w:rsid w:val="47D93810"/>
    <w:rsid w:val="47E43D6D"/>
    <w:rsid w:val="4937055A"/>
    <w:rsid w:val="4AA76959"/>
    <w:rsid w:val="4B2B5DC3"/>
    <w:rsid w:val="4BF83072"/>
    <w:rsid w:val="4CC50F60"/>
    <w:rsid w:val="4DF665B5"/>
    <w:rsid w:val="4EE62726"/>
    <w:rsid w:val="4F0C46D0"/>
    <w:rsid w:val="4F4A1D9D"/>
    <w:rsid w:val="50400D4D"/>
    <w:rsid w:val="510F2B29"/>
    <w:rsid w:val="511C5171"/>
    <w:rsid w:val="532A6F15"/>
    <w:rsid w:val="53B121ED"/>
    <w:rsid w:val="545872A4"/>
    <w:rsid w:val="54A57162"/>
    <w:rsid w:val="54F62672"/>
    <w:rsid w:val="557567C5"/>
    <w:rsid w:val="561D16D2"/>
    <w:rsid w:val="588B285C"/>
    <w:rsid w:val="598778E1"/>
    <w:rsid w:val="5A195AAB"/>
    <w:rsid w:val="5ABC3781"/>
    <w:rsid w:val="5C1A2222"/>
    <w:rsid w:val="5C857476"/>
    <w:rsid w:val="5C924C5A"/>
    <w:rsid w:val="626775AC"/>
    <w:rsid w:val="634D4E36"/>
    <w:rsid w:val="639B75B0"/>
    <w:rsid w:val="63B95AD1"/>
    <w:rsid w:val="662356CB"/>
    <w:rsid w:val="680876A0"/>
    <w:rsid w:val="68911E8F"/>
    <w:rsid w:val="68F34AA3"/>
    <w:rsid w:val="6C3236CB"/>
    <w:rsid w:val="6C782F9C"/>
    <w:rsid w:val="6CD73768"/>
    <w:rsid w:val="6DCC47D4"/>
    <w:rsid w:val="6E1A23D9"/>
    <w:rsid w:val="6E7F3432"/>
    <w:rsid w:val="6F143521"/>
    <w:rsid w:val="6F2B3480"/>
    <w:rsid w:val="6F9B07DF"/>
    <w:rsid w:val="71F20747"/>
    <w:rsid w:val="73EB3502"/>
    <w:rsid w:val="748E4D0E"/>
    <w:rsid w:val="764979C5"/>
    <w:rsid w:val="79A834A3"/>
    <w:rsid w:val="79B9751A"/>
    <w:rsid w:val="7A263F07"/>
    <w:rsid w:val="7C2D3EBA"/>
    <w:rsid w:val="7C360028"/>
    <w:rsid w:val="7D175083"/>
    <w:rsid w:val="7D8535BD"/>
    <w:rsid w:val="7DB01AF8"/>
    <w:rsid w:val="7F704F3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99"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宋体"/>
      <w:kern w:val="2"/>
      <w:sz w:val="26"/>
      <w:szCs w:val="26"/>
      <w:lang w:val="en-US" w:eastAsia="zh-CN" w:bidi="ar-SA"/>
    </w:rPr>
  </w:style>
  <w:style w:type="paragraph" w:styleId="2">
    <w:name w:val="heading 1"/>
    <w:basedOn w:val="1"/>
    <w:next w:val="1"/>
    <w:link w:val="13"/>
    <w:qFormat/>
    <w:uiPriority w:val="99"/>
    <w:pPr>
      <w:keepNext/>
      <w:keepLines/>
      <w:spacing w:before="340" w:after="330" w:line="578" w:lineRule="auto"/>
      <w:outlineLvl w:val="0"/>
    </w:pPr>
    <w:rPr>
      <w:rFonts w:ascii="Calibri" w:hAnsi="Calibri" w:cs="Calibri"/>
      <w:b/>
      <w:bCs/>
      <w:kern w:val="44"/>
      <w:sz w:val="44"/>
      <w:szCs w:val="44"/>
    </w:rPr>
  </w:style>
  <w:style w:type="paragraph" w:styleId="3">
    <w:name w:val="heading 2"/>
    <w:basedOn w:val="1"/>
    <w:next w:val="1"/>
    <w:link w:val="14"/>
    <w:qFormat/>
    <w:uiPriority w:val="99"/>
    <w:pPr>
      <w:keepNext/>
      <w:keepLines/>
      <w:widowControl/>
      <w:spacing w:before="260" w:after="260" w:line="416" w:lineRule="atLeast"/>
      <w:ind w:firstLine="200" w:firstLineChars="200"/>
      <w:outlineLvl w:val="1"/>
    </w:pPr>
    <w:rPr>
      <w:rFonts w:ascii="Cambria" w:hAnsi="Cambria" w:cs="Cambria"/>
      <w:b/>
      <w:bCs/>
      <w:sz w:val="32"/>
      <w:szCs w:val="32"/>
    </w:rPr>
  </w:style>
  <w:style w:type="paragraph" w:styleId="4">
    <w:name w:val="heading 3"/>
    <w:basedOn w:val="1"/>
    <w:next w:val="1"/>
    <w:link w:val="15"/>
    <w:qFormat/>
    <w:uiPriority w:val="99"/>
    <w:pPr>
      <w:keepNext/>
      <w:keepLines/>
      <w:spacing w:before="260" w:after="260" w:line="416" w:lineRule="auto"/>
      <w:outlineLvl w:val="2"/>
    </w:pPr>
    <w:rPr>
      <w:rFonts w:ascii="Calibri" w:hAnsi="Calibri" w:cs="Calibri"/>
      <w:b/>
      <w:bCs/>
      <w:sz w:val="32"/>
      <w:szCs w:val="32"/>
    </w:rPr>
  </w:style>
  <w:style w:type="character" w:default="1" w:styleId="10">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5">
    <w:name w:val="footer"/>
    <w:basedOn w:val="1"/>
    <w:link w:val="22"/>
    <w:unhideWhenUsed/>
    <w:qFormat/>
    <w:uiPriority w:val="99"/>
    <w:pPr>
      <w:tabs>
        <w:tab w:val="center" w:pos="4153"/>
        <w:tab w:val="right" w:pos="8306"/>
      </w:tabs>
      <w:snapToGrid w:val="0"/>
      <w:jc w:val="left"/>
    </w:pPr>
    <w:rPr>
      <w:sz w:val="18"/>
      <w:szCs w:val="18"/>
    </w:rPr>
  </w:style>
  <w:style w:type="paragraph" w:styleId="6">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itle"/>
    <w:basedOn w:val="1"/>
    <w:next w:val="1"/>
    <w:link w:val="24"/>
    <w:qFormat/>
    <w:uiPriority w:val="99"/>
    <w:pPr>
      <w:spacing w:line="560" w:lineRule="exact"/>
      <w:ind w:firstLine="200" w:firstLineChars="200"/>
      <w:jc w:val="left"/>
      <w:outlineLvl w:val="0"/>
    </w:pPr>
    <w:rPr>
      <w:rFonts w:ascii="Calibri" w:hAnsi="Calibri" w:eastAsia="黑体" w:cs="Calibri"/>
      <w:sz w:val="32"/>
      <w:szCs w:val="32"/>
    </w:rPr>
  </w:style>
  <w:style w:type="table" w:styleId="9">
    <w:name w:val="Table Grid"/>
    <w:basedOn w:val="8"/>
    <w:qFormat/>
    <w:uiPriority w:val="59"/>
    <w:pPr>
      <w:jc w:val="center"/>
    </w:pPr>
    <w:rPr>
      <w:szCs w:val="21"/>
    </w:rPr>
    <w:tblPr>
      <w:tblBorders>
        <w:top w:val="single" w:color="000000" w:themeColor="text1" w:sz="6" w:space="0"/>
        <w:left w:val="single" w:color="000000" w:themeColor="text1" w:sz="6" w:space="0"/>
        <w:bottom w:val="single" w:color="000000" w:themeColor="text1" w:sz="6" w:space="0"/>
        <w:right w:val="single" w:color="000000" w:themeColor="text1" w:sz="6" w:space="0"/>
        <w:insideH w:val="single" w:color="000000" w:themeColor="text1" w:sz="4" w:space="0"/>
        <w:insideV w:val="single" w:color="000000" w:themeColor="text1" w:sz="4" w:space="0"/>
      </w:tblBorders>
      <w:tblCellMar>
        <w:top w:w="57" w:type="dxa"/>
        <w:bottom w:w="57" w:type="dxa"/>
      </w:tblCellMar>
    </w:tblPr>
    <w:tcPr>
      <w:tcMar>
        <w:top w:w="57" w:type="dxa"/>
        <w:bottom w:w="57" w:type="dxa"/>
      </w:tcMar>
      <w:vAlign w:val="center"/>
    </w:tcPr>
  </w:style>
  <w:style w:type="character" w:styleId="11">
    <w:name w:val="Strong"/>
    <w:basedOn w:val="10"/>
    <w:qFormat/>
    <w:uiPriority w:val="99"/>
    <w:rPr>
      <w:b/>
      <w:bCs/>
    </w:rPr>
  </w:style>
  <w:style w:type="character" w:styleId="12">
    <w:name w:val="Emphasis"/>
    <w:basedOn w:val="10"/>
    <w:qFormat/>
    <w:uiPriority w:val="99"/>
    <w:rPr>
      <w:rFonts w:ascii="微软雅黑" w:hAnsi="微软雅黑" w:eastAsia="微软雅黑" w:cs="微软雅黑"/>
      <w:sz w:val="24"/>
      <w:szCs w:val="24"/>
    </w:rPr>
  </w:style>
  <w:style w:type="character" w:customStyle="1" w:styleId="13">
    <w:name w:val="标题 1 Char"/>
    <w:basedOn w:val="10"/>
    <w:link w:val="2"/>
    <w:qFormat/>
    <w:uiPriority w:val="99"/>
    <w:rPr>
      <w:rFonts w:ascii="Calibri" w:hAnsi="Calibri" w:eastAsia="宋体" w:cs="Calibri"/>
      <w:b/>
      <w:bCs/>
      <w:kern w:val="44"/>
      <w:sz w:val="44"/>
      <w:szCs w:val="44"/>
    </w:rPr>
  </w:style>
  <w:style w:type="character" w:customStyle="1" w:styleId="14">
    <w:name w:val="标题 2 Char"/>
    <w:basedOn w:val="10"/>
    <w:link w:val="3"/>
    <w:qFormat/>
    <w:uiPriority w:val="99"/>
    <w:rPr>
      <w:rFonts w:ascii="Cambria" w:hAnsi="Cambria" w:eastAsia="宋体" w:cs="Cambria"/>
      <w:b/>
      <w:bCs/>
      <w:sz w:val="32"/>
      <w:szCs w:val="32"/>
    </w:rPr>
  </w:style>
  <w:style w:type="character" w:customStyle="1" w:styleId="15">
    <w:name w:val="标题 3 Char"/>
    <w:basedOn w:val="10"/>
    <w:link w:val="4"/>
    <w:qFormat/>
    <w:uiPriority w:val="99"/>
    <w:rPr>
      <w:rFonts w:ascii="Calibri" w:hAnsi="Calibri" w:eastAsia="宋体" w:cs="Calibri"/>
      <w:b/>
      <w:bCs/>
      <w:sz w:val="32"/>
      <w:szCs w:val="32"/>
    </w:rPr>
  </w:style>
  <w:style w:type="paragraph" w:customStyle="1" w:styleId="16">
    <w:name w:val="2号小标宋"/>
    <w:basedOn w:val="1"/>
    <w:qFormat/>
    <w:uiPriority w:val="1"/>
    <w:pPr>
      <w:jc w:val="center"/>
    </w:pPr>
    <w:rPr>
      <w:rFonts w:ascii="方正小标宋简体" w:eastAsia="方正小标宋简体"/>
      <w:sz w:val="40"/>
      <w:szCs w:val="40"/>
    </w:rPr>
  </w:style>
  <w:style w:type="paragraph" w:customStyle="1" w:styleId="17">
    <w:name w:val="4号图说、表1"/>
    <w:basedOn w:val="1"/>
    <w:qFormat/>
    <w:uiPriority w:val="1"/>
    <w:pPr>
      <w:jc w:val="center"/>
    </w:pPr>
    <w:rPr>
      <w:rFonts w:ascii="黑体" w:hAnsi="黑体" w:eastAsia="黑体"/>
      <w:sz w:val="28"/>
      <w:szCs w:val="28"/>
    </w:rPr>
  </w:style>
  <w:style w:type="paragraph" w:customStyle="1" w:styleId="18">
    <w:name w:val="5号宋体"/>
    <w:basedOn w:val="1"/>
    <w:qFormat/>
    <w:uiPriority w:val="1"/>
    <w:pPr>
      <w:adjustRightInd w:val="0"/>
      <w:snapToGrid w:val="0"/>
      <w:jc w:val="center"/>
    </w:pPr>
    <w:rPr>
      <w:rFonts w:asciiTheme="minorEastAsia" w:hAnsiTheme="minorEastAsia"/>
    </w:rPr>
  </w:style>
  <w:style w:type="paragraph" w:customStyle="1" w:styleId="19">
    <w:name w:val="附件"/>
    <w:basedOn w:val="1"/>
    <w:qFormat/>
    <w:uiPriority w:val="0"/>
    <w:pPr>
      <w:adjustRightInd w:val="0"/>
      <w:snapToGrid w:val="0"/>
      <w:jc w:val="left"/>
    </w:pPr>
    <w:rPr>
      <w:rFonts w:ascii="黑体" w:hAnsi="黑体" w:eastAsia="黑体"/>
      <w:sz w:val="30"/>
      <w:szCs w:val="30"/>
    </w:rPr>
  </w:style>
  <w:style w:type="paragraph" w:customStyle="1" w:styleId="20">
    <w:name w:val="小5号宋体"/>
    <w:basedOn w:val="18"/>
    <w:qFormat/>
    <w:uiPriority w:val="1"/>
    <w:rPr>
      <w:sz w:val="18"/>
      <w:szCs w:val="18"/>
    </w:rPr>
  </w:style>
  <w:style w:type="paragraph" w:customStyle="1" w:styleId="21">
    <w:name w:val="小5居右"/>
    <w:basedOn w:val="1"/>
    <w:qFormat/>
    <w:uiPriority w:val="1"/>
    <w:pPr>
      <w:adjustRightInd w:val="0"/>
      <w:snapToGrid w:val="0"/>
      <w:spacing w:afterLines="10"/>
      <w:jc w:val="right"/>
    </w:pPr>
    <w:rPr>
      <w:rFonts w:asciiTheme="minorEastAsia" w:hAnsiTheme="minorEastAsia"/>
      <w:sz w:val="18"/>
      <w:szCs w:val="21"/>
    </w:rPr>
  </w:style>
  <w:style w:type="character" w:customStyle="1" w:styleId="22">
    <w:name w:val="页脚 Char"/>
    <w:basedOn w:val="10"/>
    <w:link w:val="5"/>
    <w:qFormat/>
    <w:uiPriority w:val="99"/>
    <w:rPr>
      <w:sz w:val="18"/>
      <w:szCs w:val="18"/>
    </w:rPr>
  </w:style>
  <w:style w:type="character" w:customStyle="1" w:styleId="23">
    <w:name w:val="页眉 Char"/>
    <w:basedOn w:val="10"/>
    <w:link w:val="6"/>
    <w:qFormat/>
    <w:uiPriority w:val="99"/>
    <w:rPr>
      <w:sz w:val="18"/>
      <w:szCs w:val="18"/>
    </w:rPr>
  </w:style>
  <w:style w:type="character" w:customStyle="1" w:styleId="24">
    <w:name w:val="标题 Char"/>
    <w:basedOn w:val="10"/>
    <w:link w:val="7"/>
    <w:qFormat/>
    <w:uiPriority w:val="99"/>
    <w:rPr>
      <w:rFonts w:ascii="Calibri" w:hAnsi="Calibri" w:eastAsia="黑体" w:cs="Calibri"/>
      <w:sz w:val="32"/>
      <w:szCs w:val="32"/>
    </w:rPr>
  </w:style>
  <w:style w:type="character" w:customStyle="1" w:styleId="25">
    <w:name w:val="font21"/>
    <w:basedOn w:val="10"/>
    <w:qFormat/>
    <w:uiPriority w:val="0"/>
    <w:rPr>
      <w:rFonts w:hint="eastAsia" w:ascii="宋体" w:hAnsi="宋体" w:eastAsia="宋体"/>
      <w:color w:val="000000"/>
      <w:sz w:val="20"/>
      <w:szCs w:val="20"/>
      <w:u w:val="none"/>
    </w:rPr>
  </w:style>
  <w:style w:type="character" w:customStyle="1" w:styleId="26">
    <w:name w:val="font11"/>
    <w:basedOn w:val="10"/>
    <w:qFormat/>
    <w:uiPriority w:val="0"/>
    <w:rPr>
      <w:rFonts w:hint="eastAsia" w:ascii="宋体" w:hAnsi="宋体" w:eastAsia="宋体"/>
      <w:color w:val="FF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143</Pages>
  <Words>14335</Words>
  <Characters>81710</Characters>
  <Lines>680</Lines>
  <Paragraphs>191</Paragraphs>
  <TotalTime>7</TotalTime>
  <ScaleCrop>false</ScaleCrop>
  <LinksUpToDate>false</LinksUpToDate>
  <CharactersWithSpaces>95854</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2021-08-11T11:04:00Z</dcterms:created>
  <dc:creator>user</dc:creator>
  <cp:lastModifiedBy>sifan</cp:lastModifiedBy>
  <cp:lastPrinted>2021-08-25T07:00:00Z</cp:lastPrinted>
  <dcterms:modified xsi:type="dcterms:W3CDTF">2021-12-08T11:22:35Z</dcterms:modified>
  <cp:revision>124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DF16BF07C8A64E2194F7B1DF46450FC0</vt:lpwstr>
  </property>
</Properties>
</file>