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592" w:firstLineChars="200"/>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592" w:firstLineChars="200"/>
        <w:jc w:val="left"/>
        <w:textAlignment w:val="baseline"/>
        <w:rPr>
          <w:rFonts w:eastAsia="黑体"/>
          <w:spacing w:val="-12"/>
          <w:sz w:val="32"/>
          <w:szCs w:val="32"/>
        </w:rPr>
      </w:pPr>
    </w:p>
    <w:p>
      <w:pPr>
        <w:spacing w:line="560" w:lineRule="exact"/>
        <w:ind w:firstLine="832" w:firstLineChars="200"/>
        <w:jc w:val="center"/>
        <w:textAlignment w:val="baseline"/>
        <w:rPr>
          <w:rFonts w:eastAsia="黑体"/>
          <w:spacing w:val="-12"/>
          <w:sz w:val="44"/>
          <w:szCs w:val="44"/>
        </w:rPr>
      </w:pPr>
      <w:bookmarkStart w:id="0" w:name="_GoBack"/>
      <w:bookmarkEnd w:id="0"/>
      <w:r>
        <w:rPr>
          <w:rFonts w:hint="eastAsia" w:eastAsia="黑体"/>
          <w:spacing w:val="-12"/>
          <w:sz w:val="44"/>
          <w:szCs w:val="44"/>
        </w:rPr>
        <w:t>部分检验项目的说明</w:t>
      </w:r>
    </w:p>
    <w:p>
      <w:pPr>
        <w:spacing w:line="560" w:lineRule="exact"/>
        <w:ind w:firstLine="611" w:firstLineChars="191"/>
        <w:rPr>
          <w:rFonts w:ascii="黑体" w:hAnsi="黑体" w:eastAsia="黑体" w:cs="Times New Roman"/>
          <w:sz w:val="32"/>
          <w:szCs w:val="32"/>
        </w:rPr>
      </w:pPr>
      <w:r>
        <w:rPr>
          <w:rFonts w:hint="eastAsia" w:ascii="黑体" w:hAnsi="黑体" w:eastAsia="黑体" w:cs="Times New Roman"/>
          <w:sz w:val="32"/>
          <w:szCs w:val="32"/>
        </w:rPr>
        <w:t>一、</w:t>
      </w:r>
      <w:r>
        <w:rPr>
          <w:rFonts w:ascii="黑体" w:hAnsi="黑体" w:eastAsia="黑体" w:cs="Times New Roman"/>
          <w:sz w:val="32"/>
          <w:szCs w:val="32"/>
        </w:rPr>
        <w:t xml:space="preserve">阴离子合成洗涤剂(以十二烷基苯磺酸钠计) </w:t>
      </w:r>
    </w:p>
    <w:p>
      <w:pPr>
        <w:spacing w:line="560" w:lineRule="exact"/>
        <w:ind w:firstLine="611" w:firstLineChars="191"/>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、铜绿假单胞菌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铜绿假单胞菌是一种条件致病菌, 广泛分布于各种水、空气、正常人的皮肤、呼吸道和肠道等，易在潮湿的环境存活，对消毒剂、紫外线等具有较强的抵抗力，对于抵抗力较弱的人群存在健康风险。</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铜绿假单胞菌超标可能是源水防护不当，水体受到污染；生产过程中卫生控制不严格，如从业人员未经消毒的手直接与水或容器内壁接触；或者是包装材料清洗消毒有缺陷所致。</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三</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四、</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60" w:lineRule="exact"/>
        <w:ind w:firstLine="640" w:firstLineChars="200"/>
        <w:rPr>
          <w:rFonts w:eastAsia="黑体"/>
          <w:sz w:val="32"/>
          <w:szCs w:val="32"/>
        </w:rPr>
      </w:pPr>
      <w:r>
        <w:rPr>
          <w:rFonts w:hint="eastAsia" w:eastAsia="黑体"/>
          <w:sz w:val="32"/>
          <w:szCs w:val="32"/>
          <w:lang w:val="en-US" w:eastAsia="zh-CN"/>
        </w:rPr>
        <w:t>五</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炒货食品中油脂是否氧化变质。随着产品中油脂氧化，过氧化值会逐步升高，虽一般不会对人体的健康产生损害，但严重时会导致肠胃不适、腹泻等症状。造成过氧化值超标的原因可能是原料储存不当导致坚果与</w:t>
      </w:r>
      <w:r>
        <w:rPr>
          <w:rFonts w:eastAsia="仿宋_GB2312"/>
          <w:color w:val="000000"/>
          <w:sz w:val="32"/>
          <w:szCs w:val="32"/>
        </w:rPr>
        <w:t>籽</w:t>
      </w:r>
      <w:r>
        <w:rPr>
          <w:rFonts w:eastAsia="仿宋_GB2312"/>
          <w:sz w:val="32"/>
          <w:szCs w:val="32"/>
        </w:rPr>
        <w:t>类的脂肪氧化、生产用油变质，或者储存过程中环境条件控制不当，导致产品酸败变质。</w:t>
      </w:r>
    </w:p>
    <w:p>
      <w:pPr>
        <w:adjustRightInd w:val="0"/>
        <w:snapToGrid w:val="0"/>
        <w:spacing w:line="594" w:lineRule="exact"/>
        <w:ind w:firstLine="640" w:firstLineChars="200"/>
        <w:rPr>
          <w:rFonts w:ascii="Times New Roman" w:hAnsi="Times New Roman" w:eastAsia="黑体" w:cs="Times New Roman"/>
          <w:bCs/>
          <w:sz w:val="32"/>
          <w:szCs w:val="32"/>
        </w:rPr>
      </w:pPr>
      <w:r>
        <w:rPr>
          <w:rFonts w:hint="eastAsia" w:eastAsia="黑体" w:cs="Times New Roman"/>
          <w:bCs/>
          <w:sz w:val="32"/>
          <w:szCs w:val="32"/>
          <w:lang w:val="en-US" w:eastAsia="zh-CN"/>
        </w:rPr>
        <w:t>六</w:t>
      </w:r>
      <w:r>
        <w:rPr>
          <w:rFonts w:ascii="Times New Roman" w:hAnsi="Times New Roman" w:eastAsia="黑体" w:cs="Times New Roman"/>
          <w:bCs/>
          <w:sz w:val="32"/>
          <w:szCs w:val="32"/>
        </w:rPr>
        <w:t>、铝的残留量</w:t>
      </w:r>
      <w:r>
        <w:rPr>
          <w:rFonts w:hint="eastAsia" w:ascii="Times New Roman" w:hAnsi="Times New Roman" w:eastAsia="黑体" w:cs="Times New Roman"/>
          <w:bCs/>
          <w:sz w:val="32"/>
          <w:szCs w:val="32"/>
        </w:rPr>
        <w:t>（干样品，以Al计）</w:t>
      </w:r>
    </w:p>
    <w:p>
      <w:pPr>
        <w:adjustRightInd w:val="0"/>
        <w:snapToGrid w:val="0"/>
        <w:spacing w:line="594" w:lineRule="exact"/>
        <w:ind w:firstLine="640" w:firstLineChars="200"/>
        <w:rPr>
          <w:rFonts w:ascii="Times New Roman" w:hAnsi="Times New Roman" w:eastAsia="仿宋_GB2312" w:cs="Times New Roman"/>
          <w:sz w:val="32"/>
          <w:szCs w:val="32"/>
          <w:shd w:val="clear" w:color="auto" w:fill="FFFFFF"/>
        </w:rPr>
      </w:pPr>
      <w:r>
        <w:rPr>
          <w:rFonts w:ascii="Times New Roman" w:hAnsi="Times New Roman" w:eastAsia="仿宋_GB2312" w:cs="Times New Roman"/>
          <w:sz w:val="32"/>
          <w:szCs w:val="32"/>
          <w:shd w:val="clear" w:color="auto" w:fill="FFFFFF"/>
        </w:rPr>
        <w:t>硫酸铝钾（又名钾明矾）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硫酸铝铵（又名铵明矶）是食品加工中常用的膨松剂和稳定剂</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使用后</w:t>
      </w:r>
      <w:r>
        <w:rPr>
          <w:rFonts w:hint="eastAsia" w:ascii="Times New Roman" w:hAnsi="Times New Roman" w:eastAsia="仿宋_GB2312" w:cs="Times New Roman"/>
          <w:sz w:val="32"/>
          <w:szCs w:val="32"/>
          <w:shd w:val="clear" w:color="auto" w:fill="FFFFFF"/>
        </w:rPr>
        <w:t>会</w:t>
      </w:r>
      <w:r>
        <w:rPr>
          <w:rFonts w:ascii="Times New Roman" w:hAnsi="Times New Roman" w:eastAsia="仿宋_GB2312" w:cs="Times New Roman"/>
          <w:sz w:val="32"/>
          <w:szCs w:val="32"/>
          <w:shd w:val="clear" w:color="auto" w:fill="FFFFFF"/>
        </w:rPr>
        <w:t>产生铝残留。长期摄入</w:t>
      </w:r>
      <w:r>
        <w:rPr>
          <w:rFonts w:hint="eastAsia" w:ascii="Times New Roman" w:hAnsi="Times New Roman" w:eastAsia="仿宋_GB2312" w:cs="Times New Roman"/>
          <w:sz w:val="32"/>
          <w:szCs w:val="32"/>
          <w:shd w:val="clear" w:color="auto" w:fill="FFFFFF"/>
        </w:rPr>
        <w:t>铝残留超标的食品，可能</w:t>
      </w:r>
      <w:r>
        <w:rPr>
          <w:rFonts w:ascii="Times New Roman" w:hAnsi="Times New Roman" w:eastAsia="仿宋_GB2312" w:cs="Times New Roman"/>
          <w:sz w:val="32"/>
          <w:szCs w:val="32"/>
          <w:shd w:val="clear" w:color="auto" w:fill="FFFFFF"/>
        </w:rPr>
        <w:t>影响人体对铁、钙等</w:t>
      </w:r>
      <w:r>
        <w:rPr>
          <w:rFonts w:hint="eastAsia" w:ascii="Times New Roman" w:hAnsi="Times New Roman" w:eastAsia="仿宋_GB2312" w:cs="Times New Roman"/>
          <w:sz w:val="32"/>
          <w:szCs w:val="32"/>
          <w:shd w:val="clear" w:color="auto" w:fill="FFFFFF"/>
        </w:rPr>
        <w:t>营养元素</w:t>
      </w:r>
      <w:r>
        <w:rPr>
          <w:rFonts w:ascii="Times New Roman" w:hAnsi="Times New Roman" w:eastAsia="仿宋_GB2312" w:cs="Times New Roman"/>
          <w:sz w:val="32"/>
          <w:szCs w:val="32"/>
          <w:shd w:val="clear" w:color="auto" w:fill="FFFFFF"/>
        </w:rPr>
        <w:t>的吸收</w:t>
      </w:r>
      <w:r>
        <w:rPr>
          <w:rFonts w:hint="eastAsia" w:ascii="Times New Roman" w:hAnsi="Times New Roman" w:eastAsia="仿宋_GB2312" w:cs="Times New Roman"/>
          <w:sz w:val="32"/>
          <w:szCs w:val="32"/>
          <w:shd w:val="clear" w:color="auto" w:fill="FFFFFF"/>
        </w:rPr>
        <w:t>，从而</w:t>
      </w:r>
      <w:r>
        <w:rPr>
          <w:rFonts w:ascii="Times New Roman" w:hAnsi="Times New Roman" w:eastAsia="仿宋_GB2312" w:cs="Times New Roman"/>
          <w:sz w:val="32"/>
          <w:szCs w:val="32"/>
          <w:shd w:val="clear" w:color="auto" w:fill="FFFFFF"/>
        </w:rPr>
        <w:t>导致骨质疏松</w:t>
      </w:r>
      <w:r>
        <w:rPr>
          <w:rFonts w:hint="eastAsia" w:ascii="Times New Roman" w:hAnsi="Times New Roman" w:eastAsia="仿宋_GB2312" w:cs="Times New Roman"/>
          <w:sz w:val="32"/>
          <w:szCs w:val="32"/>
          <w:shd w:val="clear" w:color="auto" w:fill="FFFFFF"/>
        </w:rPr>
        <w:t>、</w:t>
      </w:r>
      <w:r>
        <w:rPr>
          <w:rFonts w:ascii="Times New Roman" w:hAnsi="Times New Roman" w:eastAsia="仿宋_GB2312" w:cs="Times New Roman"/>
          <w:sz w:val="32"/>
          <w:szCs w:val="32"/>
          <w:shd w:val="clear" w:color="auto" w:fill="FFFFFF"/>
        </w:rPr>
        <w:t>贫血</w:t>
      </w:r>
      <w:r>
        <w:rPr>
          <w:rFonts w:hint="eastAsia" w:ascii="Times New Roman" w:hAnsi="Times New Roman" w:eastAsia="仿宋_GB2312" w:cs="Times New Roman"/>
          <w:sz w:val="32"/>
          <w:szCs w:val="32"/>
          <w:shd w:val="clear" w:color="auto" w:fill="FFFFFF"/>
        </w:rPr>
        <w:t>等，</w:t>
      </w:r>
      <w:r>
        <w:rPr>
          <w:rFonts w:ascii="Times New Roman" w:hAnsi="Times New Roman" w:eastAsia="仿宋_GB2312" w:cs="Times New Roman"/>
          <w:sz w:val="32"/>
          <w:szCs w:val="32"/>
          <w:shd w:val="clear" w:color="auto" w:fill="FFFFFF"/>
        </w:rPr>
        <w:t>甚至影响神经细胞的发育。</w:t>
      </w:r>
    </w:p>
    <w:p>
      <w:pPr>
        <w:pStyle w:val="4"/>
        <w:spacing w:line="560" w:lineRule="exact"/>
        <w:ind w:firstLine="640" w:firstLineChars="200"/>
        <w:rPr>
          <w:rFonts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1338"/>
    <w:rsid w:val="00425F30"/>
    <w:rsid w:val="00AE6277"/>
    <w:rsid w:val="00C81338"/>
    <w:rsid w:val="00D75458"/>
    <w:rsid w:val="01584046"/>
    <w:rsid w:val="0F7C37BD"/>
    <w:rsid w:val="11E514FF"/>
    <w:rsid w:val="13322EF6"/>
    <w:rsid w:val="13335747"/>
    <w:rsid w:val="17B737AE"/>
    <w:rsid w:val="19066D18"/>
    <w:rsid w:val="19071755"/>
    <w:rsid w:val="1B8B564F"/>
    <w:rsid w:val="1DC36796"/>
    <w:rsid w:val="234F1590"/>
    <w:rsid w:val="272C5305"/>
    <w:rsid w:val="2946328C"/>
    <w:rsid w:val="2A9C4BF4"/>
    <w:rsid w:val="39AC322D"/>
    <w:rsid w:val="3AD727F2"/>
    <w:rsid w:val="42B7663A"/>
    <w:rsid w:val="4B3A29F8"/>
    <w:rsid w:val="539A344C"/>
    <w:rsid w:val="5ACE07CC"/>
    <w:rsid w:val="5F394E3A"/>
    <w:rsid w:val="60AB1E4A"/>
    <w:rsid w:val="623E1ED1"/>
    <w:rsid w:val="64E9586B"/>
    <w:rsid w:val="6CEB04D5"/>
    <w:rsid w:val="700026E9"/>
    <w:rsid w:val="7141509C"/>
    <w:rsid w:val="72CD6A7D"/>
    <w:rsid w:val="73A04FF4"/>
    <w:rsid w:val="740427DF"/>
    <w:rsid w:val="75502CAC"/>
    <w:rsid w:val="75C12E5F"/>
    <w:rsid w:val="788F1DEF"/>
    <w:rsid w:val="7A561CBB"/>
    <w:rsid w:val="7B2F1610"/>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0</TotalTime>
  <ScaleCrop>false</ScaleCrop>
  <LinksUpToDate>false</LinksUpToDate>
  <CharactersWithSpaces>481</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2020-11-11T05:10:06Z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