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592" w:firstLineChars="200"/>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592" w:firstLineChars="200"/>
        <w:jc w:val="left"/>
        <w:textAlignment w:val="baseline"/>
        <w:rPr>
          <w:rFonts w:eastAsia="黑体"/>
          <w:spacing w:val="-12"/>
          <w:sz w:val="32"/>
          <w:szCs w:val="32"/>
        </w:rPr>
      </w:pPr>
    </w:p>
    <w:p>
      <w:pPr>
        <w:spacing w:line="560" w:lineRule="exact"/>
        <w:ind w:firstLine="832" w:firstLineChars="200"/>
        <w:jc w:val="center"/>
        <w:textAlignment w:val="baseline"/>
        <w:rPr>
          <w:rFonts w:eastAsia="黑体"/>
          <w:spacing w:val="-12"/>
          <w:sz w:val="44"/>
          <w:szCs w:val="44"/>
        </w:rPr>
      </w:pPr>
      <w:bookmarkStart w:id="0" w:name="_GoBack"/>
      <w:bookmarkEnd w:id="0"/>
      <w:r>
        <w:rPr>
          <w:rFonts w:hint="eastAsia" w:eastAsia="黑体"/>
          <w:spacing w:val="-12"/>
          <w:sz w:val="44"/>
          <w:szCs w:val="44"/>
        </w:rPr>
        <w:t>部分检验项目的说明</w:t>
      </w:r>
    </w:p>
    <w:p>
      <w:pPr>
        <w:spacing w:line="594" w:lineRule="exact"/>
        <w:ind w:firstLine="592" w:firstLineChars="200"/>
        <w:rPr>
          <w:rFonts w:ascii="Times New Roman" w:hAnsi="Times New Roman" w:eastAsia="黑体" w:cs="Times New Roman"/>
          <w:spacing w:val="-12"/>
          <w:sz w:val="32"/>
          <w:szCs w:val="32"/>
        </w:rPr>
      </w:pPr>
      <w:r>
        <w:rPr>
          <w:rFonts w:hint="eastAsia" w:ascii="黑体" w:hAnsi="黑体" w:eastAsia="黑体" w:cs="Times New Roman"/>
          <w:spacing w:val="-12"/>
          <w:sz w:val="32"/>
          <w:szCs w:val="32"/>
          <w:lang w:val="en-US" w:eastAsia="zh-CN"/>
        </w:rPr>
        <w:t>一</w:t>
      </w:r>
      <w:r>
        <w:rPr>
          <w:rFonts w:ascii="黑体" w:hAnsi="黑体" w:eastAsia="黑体" w:cs="Times New Roman"/>
          <w:spacing w:val="-12"/>
          <w:sz w:val="32"/>
          <w:szCs w:val="32"/>
        </w:rPr>
        <w:t>、</w:t>
      </w:r>
      <w:r>
        <w:rPr>
          <w:rFonts w:hint="eastAsia" w:ascii="黑体" w:hAnsi="黑体" w:eastAsia="黑体" w:cs="Times New Roman"/>
          <w:spacing w:val="0"/>
          <w:sz w:val="32"/>
          <w:szCs w:val="32"/>
        </w:rPr>
        <w:t>6-苄基腺嘌呤（6-BA）</w:t>
      </w:r>
    </w:p>
    <w:p>
      <w:pPr>
        <w:spacing w:line="594" w:lineRule="exact"/>
        <w:ind w:firstLine="640" w:firstLineChars="200"/>
        <w:rPr>
          <w:rFonts w:ascii="Times New Roman" w:hAnsi="Times New Roman" w:eastAsia="仿宋_GB2312" w:cs="Times New Roman"/>
          <w:spacing w:val="0"/>
          <w:sz w:val="32"/>
          <w:szCs w:val="32"/>
        </w:rPr>
      </w:pPr>
      <w:r>
        <w:rPr>
          <w:rFonts w:hint="eastAsia" w:ascii="Times New Roman" w:hAnsi="Times New Roman" w:eastAsia="仿宋_GB2312" w:cs="Times New Roman"/>
          <w:spacing w:val="0"/>
          <w:sz w:val="32"/>
          <w:szCs w:val="32"/>
        </w:rPr>
        <w:t>6-苄基腺嘌呤（6-BA）是一种植物生长调节剂，曾在豆芽</w:t>
      </w:r>
      <w:r>
        <w:rPr>
          <w:rFonts w:hint="eastAsia" w:ascii="Times New Roman" w:hAnsi="Times New Roman" w:eastAsia="仿宋_GB2312" w:cs="Times New Roman"/>
          <w:spacing w:val="0"/>
          <w:sz w:val="32"/>
          <w:szCs w:val="32"/>
          <w:lang w:eastAsia="zh-CN"/>
        </w:rPr>
        <w:t>生产</w:t>
      </w:r>
      <w:r>
        <w:rPr>
          <w:rFonts w:hint="eastAsia" w:ascii="Times New Roman" w:hAnsi="Times New Roman" w:eastAsia="仿宋_GB2312" w:cs="Times New Roman"/>
          <w:spacing w:val="0"/>
          <w:sz w:val="32"/>
          <w:szCs w:val="32"/>
        </w:rPr>
        <w:t>中被广泛使用。豆芽中检出6-苄基腺嘌呤（6-BA）的原因，可能是生产者为了抑制豆芽生根，提高豆芽产量，从而违规使用相关农药。</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、铜绿假单胞菌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铜绿假单胞菌是一种条件致病菌, 广泛分布于各种水、空气、正常人的皮肤、呼吸道和肠道等，易在潮湿的环境存活，对消毒剂、紫外线等具有较强的抵抗力，对于抵抗力较弱的人群存在健康风险。</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铜绿假单胞菌超标可能是源水防护不当，水体受到污染；生产过程中卫生控制不严格，如从业人员未经消毒的手直接与水或容器内壁接触；或者是包装材料清洗消毒有缺陷所致。</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三</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640" w:lineRule="exact"/>
        <w:ind w:firstLine="640" w:firstLineChars="200"/>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、毒死蜱</w:t>
      </w:r>
    </w:p>
    <w:p>
      <w:pPr>
        <w:spacing w:line="640" w:lineRule="exact"/>
        <w:ind w:firstLine="640" w:firstLineChars="200"/>
        <w:rPr>
          <w:rFonts w:eastAsia="仿宋_GB2312"/>
          <w:sz w:val="32"/>
          <w:szCs w:val="32"/>
        </w:rPr>
      </w:pPr>
      <w:r>
        <w:rPr>
          <w:rFonts w:hint="eastAsia" w:eastAsia="仿宋_GB2312"/>
          <w:sz w:val="32"/>
          <w:szCs w:val="32"/>
        </w:rPr>
        <w:t>毒死蜱是一种具有触杀、胃毒和熏蒸作用的有机磷杀虫剂。毒死蜱对鱼类及水生生物毒性较高，在土壤中残留期较长。</w:t>
      </w:r>
      <w:r>
        <w:rPr>
          <w:rFonts w:hint="eastAsia" w:eastAsia="仿宋_GB2312" w:cs="仿宋_GB2312"/>
          <w:sz w:val="32"/>
          <w:szCs w:val="32"/>
        </w:rPr>
        <w:t>长期暴露在含有毒死蜱的环境中，可能会导致神经毒性、生殖毒性，影响胚胎的生长发育。</w:t>
      </w:r>
      <w:r>
        <w:rPr>
          <w:rFonts w:hint="eastAsia" w:eastAsia="仿宋_GB2312"/>
          <w:sz w:val="32"/>
          <w:szCs w:val="32"/>
        </w:rPr>
        <w:t>少量的农药残留不会引起人体急性中毒，但长期食用农药残留超标的食品，对人体健康有一定影响。</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五</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六、</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七、氧氟沙星</w:t>
      </w:r>
    </w:p>
    <w:p>
      <w:pPr>
        <w:pStyle w:val="4"/>
        <w:widowControl/>
        <w:spacing w:line="640" w:lineRule="exact"/>
        <w:ind w:firstLine="640" w:firstLineChars="200"/>
        <w:rPr>
          <w:rFonts w:eastAsia="仿宋_GB2312"/>
          <w:sz w:val="32"/>
          <w:szCs w:val="32"/>
        </w:rPr>
      </w:pPr>
      <w:r>
        <w:rPr>
          <w:rFonts w:hint="eastAsia" w:eastAsia="仿宋_GB2312"/>
          <w:sz w:val="32"/>
          <w:szCs w:val="32"/>
        </w:rPr>
        <w:t>氧氟沙星属于氟喹诺酮类药物，因抗菌谱广、抗菌活性强等曾被广泛用于畜禽细菌性疾病的治疗和预防。氧氟沙星残留在人体中蓄积，可能引起人体的耐药性，长期摄入氧氟沙星超标的动物性食品，可能引起轻度胃肠道刺激或不适、头痛、头晕、睡眠不良等症状，大剂量还可能引起肝损害。</w:t>
      </w:r>
    </w:p>
    <w:p>
      <w:pPr>
        <w:pStyle w:val="4"/>
        <w:spacing w:line="560" w:lineRule="exact"/>
        <w:ind w:firstLine="640" w:firstLineChars="200"/>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425F30"/>
    <w:rsid w:val="00AE6277"/>
    <w:rsid w:val="00C81338"/>
    <w:rsid w:val="00D75458"/>
    <w:rsid w:val="01584046"/>
    <w:rsid w:val="0F7C37BD"/>
    <w:rsid w:val="11E514FF"/>
    <w:rsid w:val="13322EF6"/>
    <w:rsid w:val="13335747"/>
    <w:rsid w:val="17B737AE"/>
    <w:rsid w:val="19066D18"/>
    <w:rsid w:val="19071755"/>
    <w:rsid w:val="1B8B564F"/>
    <w:rsid w:val="1DC36796"/>
    <w:rsid w:val="234F1590"/>
    <w:rsid w:val="2946328C"/>
    <w:rsid w:val="2A9C4BF4"/>
    <w:rsid w:val="39AC322D"/>
    <w:rsid w:val="3AD727F2"/>
    <w:rsid w:val="42B7663A"/>
    <w:rsid w:val="4B3A29F8"/>
    <w:rsid w:val="539A344C"/>
    <w:rsid w:val="5ACE07CC"/>
    <w:rsid w:val="5F394E3A"/>
    <w:rsid w:val="60AB1E4A"/>
    <w:rsid w:val="623E1ED1"/>
    <w:rsid w:val="64E9586B"/>
    <w:rsid w:val="6CEB04D5"/>
    <w:rsid w:val="700026E9"/>
    <w:rsid w:val="7141509C"/>
    <w:rsid w:val="72CD6A7D"/>
    <w:rsid w:val="740427DF"/>
    <w:rsid w:val="75502CAC"/>
    <w:rsid w:val="75C12E5F"/>
    <w:rsid w:val="7A561CBB"/>
    <w:rsid w:val="7B2F1610"/>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uiPriority w:val="0"/>
    <w:rPr>
      <w:rFonts w:ascii="Times New Roman" w:hAnsi="Times New Roman" w:eastAsia="宋体" w:cs="Times New Roman"/>
      <w:kern w:val="2"/>
      <w:sz w:val="18"/>
      <w:szCs w:val="18"/>
    </w:rPr>
  </w:style>
  <w:style w:type="character" w:customStyle="1" w:styleId="9">
    <w:name w:val="页脚 Char"/>
    <w:basedOn w:val="6"/>
    <w:link w:val="2"/>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2</TotalTime>
  <ScaleCrop>false</ScaleCrop>
  <LinksUpToDate>false</LinksUpToDate>
  <CharactersWithSpaces>481</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2020-10-29T06:52:49Z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