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firstLine="592" w:firstLineChars="200"/>
        <w:jc w:val="left"/>
        <w:textAlignment w:val="baseline"/>
        <w:outlineLvl w:val="9"/>
        <w:rPr>
          <w:rFonts w:hint="default" w:eastAsia="黑体"/>
          <w:spacing w:val="-12"/>
          <w:sz w:val="32"/>
          <w:szCs w:val="32"/>
          <w:lang w:val="en-US" w:eastAsia="zh-CN"/>
        </w:rPr>
      </w:pPr>
      <w:r>
        <w:rPr>
          <w:rFonts w:hint="eastAsia" w:eastAsia="黑体"/>
          <w:spacing w:val="-12"/>
          <w:sz w:val="32"/>
          <w:szCs w:val="32"/>
          <w:lang w:eastAsia="zh-CN"/>
        </w:rPr>
        <w:t>附件</w:t>
      </w:r>
      <w:r>
        <w:rPr>
          <w:rFonts w:hint="eastAsia" w:eastAsia="黑体"/>
          <w:spacing w:val="-12"/>
          <w:sz w:val="32"/>
          <w:szCs w:val="32"/>
          <w:lang w:val="en-US" w:eastAsia="zh-CN"/>
        </w:rPr>
        <w:t>3</w:t>
      </w:r>
    </w:p>
    <w:p>
      <w:pPr>
        <w:keepNext w:val="0"/>
        <w:keepLines w:val="0"/>
        <w:pageBreakBefore w:val="0"/>
        <w:widowControl w:val="0"/>
        <w:kinsoku/>
        <w:wordWrap/>
        <w:overflowPunct/>
        <w:topLinePunct w:val="0"/>
        <w:autoSpaceDE/>
        <w:autoSpaceDN/>
        <w:bidi w:val="0"/>
        <w:adjustRightInd/>
        <w:snapToGrid/>
        <w:spacing w:line="560" w:lineRule="exact"/>
        <w:ind w:firstLine="592" w:firstLineChars="200"/>
        <w:jc w:val="left"/>
        <w:textAlignment w:val="baseline"/>
        <w:outlineLvl w:val="9"/>
        <w:rPr>
          <w:rFonts w:hint="eastAsia" w:eastAsia="黑体"/>
          <w:spacing w:val="-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832" w:firstLineChars="200"/>
        <w:jc w:val="center"/>
        <w:textAlignment w:val="baseline"/>
        <w:outlineLvl w:val="9"/>
        <w:rPr>
          <w:rFonts w:hint="eastAsia" w:eastAsia="黑体"/>
          <w:spacing w:val="-12"/>
          <w:sz w:val="44"/>
          <w:szCs w:val="44"/>
          <w:lang w:val="en-US" w:eastAsia="zh-CN"/>
        </w:rPr>
      </w:pPr>
      <w:r>
        <w:rPr>
          <w:rFonts w:hint="eastAsia" w:eastAsia="黑体"/>
          <w:spacing w:val="-12"/>
          <w:sz w:val="44"/>
          <w:szCs w:val="44"/>
          <w:lang w:val="en-US" w:eastAsia="zh-CN"/>
        </w:rPr>
        <w:t>部分检验项目的说明</w:t>
      </w:r>
    </w:p>
    <w:p>
      <w:pPr>
        <w:spacing w:line="600" w:lineRule="exact"/>
        <w:ind w:firstLine="640" w:firstLineChars="200"/>
        <w:rPr>
          <w:rFonts w:hint="eastAsia" w:ascii="黑体" w:hAnsi="黑体" w:eastAsia="黑体" w:cs="黑体"/>
          <w:sz w:val="32"/>
          <w:szCs w:val="32"/>
        </w:rPr>
      </w:pPr>
      <w:r>
        <w:rPr>
          <w:rFonts w:hint="eastAsia" w:ascii="黑体" w:hAnsi="黑体" w:eastAsia="黑体" w:cs="黑体"/>
          <w:sz w:val="32"/>
          <w:szCs w:val="32"/>
          <w:lang w:val="en-US" w:eastAsia="zh-CN"/>
        </w:rPr>
        <w:t>一</w:t>
      </w:r>
      <w:r>
        <w:rPr>
          <w:rFonts w:hint="eastAsia" w:ascii="黑体" w:hAnsi="黑体" w:eastAsia="黑体" w:cs="黑体"/>
          <w:sz w:val="32"/>
          <w:szCs w:val="32"/>
        </w:rPr>
        <w:t>、酒精度</w:t>
      </w:r>
    </w:p>
    <w:p>
      <w:pPr>
        <w:spacing w:line="600" w:lineRule="exact"/>
        <w:ind w:firstLine="640" w:firstLineChars="200"/>
        <w:rPr>
          <w:rFonts w:hint="eastAsia" w:ascii="仿宋_GB2312" w:hAnsi="ˎ̥" w:eastAsia="仿宋_GB2312" w:cs="Arial"/>
          <w:sz w:val="32"/>
          <w:szCs w:val="32"/>
        </w:rPr>
      </w:pPr>
      <w:r>
        <w:rPr>
          <w:rFonts w:hint="eastAsia" w:ascii="仿宋_GB2312" w:hAnsi="ˎ̥" w:eastAsia="仿宋_GB2312" w:cs="Arial"/>
          <w:sz w:val="32"/>
          <w:szCs w:val="32"/>
        </w:rPr>
        <w:t>酒精度又叫酒度，反映了酒中乙醇（酒精）的含量，是酒类的品质指标之一。酒精度不合格可能是个别企业生产工艺控制不严格或检验器具不准确等因素造成。</w:t>
      </w:r>
    </w:p>
    <w:p>
      <w:pPr>
        <w:spacing w:line="560" w:lineRule="exact"/>
        <w:ind w:firstLine="592" w:firstLineChars="200"/>
        <w:rPr>
          <w:rFonts w:eastAsia="黑体"/>
          <w:spacing w:val="-12"/>
          <w:sz w:val="32"/>
          <w:szCs w:val="32"/>
        </w:rPr>
      </w:pPr>
      <w:r>
        <w:rPr>
          <w:rFonts w:hint="eastAsia" w:eastAsia="黑体"/>
          <w:spacing w:val="-12"/>
          <w:sz w:val="32"/>
          <w:szCs w:val="32"/>
          <w:lang w:val="en-US" w:eastAsia="zh-CN"/>
        </w:rPr>
        <w:t>二</w:t>
      </w:r>
      <w:r>
        <w:rPr>
          <w:rFonts w:eastAsia="黑体"/>
          <w:spacing w:val="-12"/>
          <w:sz w:val="32"/>
          <w:szCs w:val="32"/>
        </w:rPr>
        <w:t>、脱氢乙酸及其钠盐</w:t>
      </w:r>
    </w:p>
    <w:p>
      <w:pPr>
        <w:spacing w:line="560" w:lineRule="exact"/>
        <w:ind w:firstLine="640" w:firstLineChars="200"/>
        <w:rPr>
          <w:rFonts w:eastAsia="黑体"/>
          <w:spacing w:val="-12"/>
          <w:sz w:val="32"/>
          <w:szCs w:val="32"/>
        </w:rPr>
      </w:pPr>
      <w:r>
        <w:rPr>
          <w:rFonts w:eastAsia="仿宋_GB2312"/>
          <w:sz w:val="32"/>
          <w:szCs w:val="32"/>
        </w:rPr>
        <w:t>脱氢乙酸及其钠盐作为食品添加剂，广泛用作防腐剂，对霉菌具有较强的抑制作用。脱氢乙酸及其钠盐不合格的原因可能是个别</w:t>
      </w:r>
      <w:r>
        <w:rPr>
          <w:rFonts w:hint="eastAsia" w:eastAsia="仿宋_GB2312"/>
          <w:sz w:val="32"/>
          <w:szCs w:val="32"/>
        </w:rPr>
        <w:t>生产</w:t>
      </w:r>
      <w:r>
        <w:rPr>
          <w:rFonts w:eastAsia="仿宋_GB2312"/>
          <w:sz w:val="32"/>
          <w:szCs w:val="32"/>
        </w:rPr>
        <w:t>企业为防止食品腐败变质，超</w:t>
      </w:r>
      <w:r>
        <w:rPr>
          <w:rFonts w:hint="eastAsia" w:eastAsia="仿宋_GB2312"/>
          <w:sz w:val="32"/>
          <w:szCs w:val="32"/>
        </w:rPr>
        <w:t>限</w:t>
      </w:r>
      <w:r>
        <w:rPr>
          <w:rFonts w:eastAsia="仿宋_GB2312"/>
          <w:sz w:val="32"/>
          <w:szCs w:val="32"/>
        </w:rPr>
        <w:t>量使用了该添加剂，或者使用的复配添加剂中含有该添加剂</w:t>
      </w:r>
      <w:r>
        <w:rPr>
          <w:rFonts w:hint="eastAsia" w:eastAsia="仿宋_GB2312"/>
          <w:sz w:val="32"/>
          <w:szCs w:val="32"/>
        </w:rPr>
        <w:t>使得重复使用而超限量</w:t>
      </w:r>
      <w:r>
        <w:rPr>
          <w:rFonts w:eastAsia="仿宋_GB2312"/>
          <w:sz w:val="32"/>
          <w:szCs w:val="32"/>
        </w:rPr>
        <w:t>，也可能是添加过程中未计量或计量不准确造成的。长期大量食用脱氢乙酸及其钠盐超标产品，可能对人体健康产生一定影响。</w:t>
      </w:r>
    </w:p>
    <w:p>
      <w:pPr>
        <w:pStyle w:val="2"/>
        <w:spacing w:line="580" w:lineRule="exact"/>
        <w:ind w:firstLine="640" w:firstLineChars="200"/>
        <w:jc w:val="left"/>
        <w:rPr>
          <w:rFonts w:hint="eastAsia" w:eastAsia="黑体"/>
          <w:color w:val="000000"/>
          <w:sz w:val="32"/>
          <w:szCs w:val="32"/>
          <w:lang w:val="en-US" w:eastAsia="zh-CN"/>
        </w:rPr>
      </w:pPr>
      <w:r>
        <w:rPr>
          <w:rFonts w:hint="eastAsia" w:eastAsia="黑体"/>
          <w:color w:val="000000"/>
          <w:sz w:val="32"/>
          <w:szCs w:val="32"/>
          <w:lang w:val="en-US" w:eastAsia="zh-CN"/>
        </w:rPr>
        <w:t>三、还原糖分</w:t>
      </w:r>
    </w:p>
    <w:p>
      <w:pPr>
        <w:pStyle w:val="2"/>
        <w:ind w:firstLine="640" w:firstLineChars="200"/>
        <w:jc w:val="left"/>
        <w:rPr>
          <w:rFonts w:hint="eastAsia" w:ascii="仿宋_GB2312" w:eastAsia="仿宋_GB2312"/>
          <w:sz w:val="32"/>
          <w:szCs w:val="32"/>
          <w:lang w:val="en-US" w:eastAsia="zh-CN"/>
        </w:rPr>
      </w:pPr>
      <w:r>
        <w:rPr>
          <w:rFonts w:hint="eastAsia" w:ascii="仿宋_GB2312" w:eastAsia="仿宋_GB2312"/>
          <w:sz w:val="32"/>
          <w:szCs w:val="32"/>
          <w:lang w:val="en-US" w:eastAsia="zh-CN"/>
        </w:rPr>
        <w:t>还原糖分是食糖的品质指标之一，反映了食糖中还原糖的含量，还原糖含量会影响食糖的口感、外观等。还原糖分不达标会影响产品本身的风味。还原糖偏高会使白糖吸潮，不耐贮存，影响白糖的质量。还原糖分超标可能与生产工艺、运输储存环境等有关。</w:t>
      </w:r>
    </w:p>
    <w:p>
      <w:pPr>
        <w:autoSpaceDE w:val="0"/>
        <w:autoSpaceDN w:val="0"/>
        <w:adjustRightInd w:val="0"/>
        <w:spacing w:line="640" w:lineRule="exact"/>
        <w:ind w:firstLine="640" w:firstLineChars="200"/>
        <w:rPr>
          <w:rFonts w:hint="eastAsia" w:ascii="仿宋_GB2312" w:hAnsi="Calibri" w:eastAsia="仿宋_GB2312"/>
          <w:sz w:val="32"/>
          <w:szCs w:val="32"/>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ˎ̥">
    <w:altName w:val="Times New Roman"/>
    <w:panose1 w:val="00000000000000000000"/>
    <w:charset w:val="00"/>
    <w:family w:val="roman"/>
    <w:pitch w:val="default"/>
    <w:sig w:usb0="00000000"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425F30"/>
    <w:rsid w:val="01584046"/>
    <w:rsid w:val="0F7C37BD"/>
    <w:rsid w:val="11E514FF"/>
    <w:rsid w:val="13322EF6"/>
    <w:rsid w:val="13335747"/>
    <w:rsid w:val="17B737AE"/>
    <w:rsid w:val="19066D18"/>
    <w:rsid w:val="1B8B564F"/>
    <w:rsid w:val="1DC36796"/>
    <w:rsid w:val="234F1590"/>
    <w:rsid w:val="2946328C"/>
    <w:rsid w:val="2A9C4BF4"/>
    <w:rsid w:val="39AC322D"/>
    <w:rsid w:val="3AD727F2"/>
    <w:rsid w:val="42B7663A"/>
    <w:rsid w:val="4B3A29F8"/>
    <w:rsid w:val="5ACE07CC"/>
    <w:rsid w:val="5F394E3A"/>
    <w:rsid w:val="60AB1E4A"/>
    <w:rsid w:val="623E1ED1"/>
    <w:rsid w:val="64E9586B"/>
    <w:rsid w:val="6CEB04D5"/>
    <w:rsid w:val="7141509C"/>
    <w:rsid w:val="72CD6A7D"/>
    <w:rsid w:val="740427DF"/>
    <w:rsid w:val="75502CAC"/>
    <w:rsid w:val="7A561CBB"/>
    <w:rsid w:val="7B2F1610"/>
    <w:rsid w:val="7F3176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rPr>
      <w:rFonts w:ascii="Times New Roman" w:hAnsi="Times New Roman" w:eastAsia="宋体" w:cs="Times New Roman"/>
      <w:sz w:val="24"/>
    </w:rPr>
  </w:style>
  <w:style w:type="paragraph" w:customStyle="1" w:styleId="5">
    <w:name w:val="列出段落1"/>
    <w:basedOn w:val="1"/>
    <w:qFormat/>
    <w:uiPriority w:val="34"/>
    <w:pPr>
      <w:ind w:firstLine="420" w:firstLineChars="200"/>
    </w:pPr>
    <w:rPr>
      <w:rFonts w:ascii="Calibri" w:hAnsi="Calibri"/>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飞</cp:lastModifiedBy>
  <dcterms:modified xsi:type="dcterms:W3CDTF">2020-09-11T00:40:58Z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