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餐饮服务食品安全监督检查参考要点表</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outlineLvl w:val="9"/>
        <w:rPr>
          <w:rFonts w:hint="eastAsia" w:ascii="楷体" w:hAnsi="楷体" w:eastAsia="楷体" w:cs="楷体"/>
          <w:lang w:val="en-US" w:eastAsia="zh-CN"/>
        </w:rPr>
      </w:pPr>
      <w:r>
        <w:rPr>
          <w:rFonts w:hint="eastAsia" w:ascii="楷体" w:hAnsi="楷体" w:eastAsia="楷体" w:cs="楷体"/>
          <w:lang w:val="en-US" w:eastAsia="zh-CN"/>
        </w:rPr>
        <w:t>（中央厨房和集体用餐配送单位）</w:t>
      </w:r>
    </w:p>
    <w:p>
      <w:pPr>
        <w:adjustRightInd w:val="0"/>
        <w:snapToGrid w:val="0"/>
        <w:spacing w:line="580" w:lineRule="exact"/>
        <w:jc w:val="center"/>
        <w:rPr>
          <w:rFonts w:ascii="黑体" w:hAnsi="黑体" w:eastAsia="黑体"/>
          <w:sz w:val="32"/>
          <w:szCs w:val="32"/>
        </w:rPr>
      </w:pPr>
      <w:r>
        <w:rPr>
          <w:rFonts w:hint="eastAsia" w:ascii="黑体" w:hAnsi="黑体" w:eastAsia="黑体"/>
          <w:sz w:val="32"/>
          <w:szCs w:val="32"/>
        </w:rPr>
        <w:t>告知页</w:t>
      </w:r>
    </w:p>
    <w:tbl>
      <w:tblPr>
        <w:tblStyle w:val="5"/>
        <w:tblW w:w="89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50" w:hRule="atLeast"/>
          <w:jc w:val="center"/>
        </w:trPr>
        <w:tc>
          <w:tcPr>
            <w:tcW w:w="8906" w:type="dxa"/>
            <w:vAlign w:val="top"/>
          </w:tcPr>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ascii="宋体" w:hAnsi="宋体"/>
                <w:kern w:val="0"/>
                <w:sz w:val="24"/>
              </w:rPr>
            </w:pPr>
          </w:p>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hint="eastAsia" w:ascii="仿宋" w:hAnsi="仿宋" w:eastAsia="仿宋" w:cs="仿宋"/>
                <w:kern w:val="0"/>
                <w:sz w:val="28"/>
                <w:szCs w:val="28"/>
                <w:lang w:val="en-US" w:eastAsia="zh-CN"/>
              </w:rPr>
            </w:pPr>
            <w:r>
              <w:rPr>
                <w:rFonts w:hint="eastAsia" w:ascii="仿宋" w:hAnsi="仿宋" w:eastAsia="仿宋" w:cs="仿宋"/>
                <w:kern w:val="0"/>
                <w:sz w:val="28"/>
                <w:szCs w:val="28"/>
              </w:rPr>
              <w:t>被检查单位：</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single"/>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hint="eastAsia" w:ascii="仿宋" w:hAnsi="仿宋" w:eastAsia="仿宋" w:cs="仿宋"/>
                <w:kern w:val="0"/>
                <w:sz w:val="28"/>
                <w:szCs w:val="28"/>
                <w:u w:val="single"/>
                <w:lang w:val="en-US" w:eastAsia="zh-CN"/>
              </w:rPr>
            </w:pPr>
            <w:r>
              <w:rPr>
                <w:rFonts w:hint="eastAsia" w:ascii="仿宋" w:hAnsi="仿宋" w:eastAsia="仿宋" w:cs="仿宋"/>
                <w:kern w:val="0"/>
                <w:sz w:val="28"/>
                <w:szCs w:val="28"/>
              </w:rPr>
              <w:t>地址：</w:t>
            </w:r>
            <w:r>
              <w:rPr>
                <w:rFonts w:hint="eastAsia" w:ascii="仿宋" w:hAnsi="仿宋" w:eastAsia="仿宋" w:cs="仿宋"/>
                <w:kern w:val="0"/>
                <w:sz w:val="28"/>
                <w:szCs w:val="28"/>
                <w:u w:val="single"/>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hint="eastAsia" w:ascii="仿宋" w:hAnsi="仿宋" w:eastAsia="仿宋" w:cs="仿宋"/>
                <w:kern w:val="0"/>
                <w:sz w:val="28"/>
                <w:szCs w:val="28"/>
                <w:u w:val="single"/>
                <w:lang w:val="en-US" w:eastAsia="zh-CN"/>
              </w:rPr>
            </w:pPr>
            <w:r>
              <w:rPr>
                <w:rFonts w:hint="eastAsia" w:ascii="仿宋" w:hAnsi="仿宋" w:eastAsia="仿宋" w:cs="仿宋"/>
                <w:kern w:val="0"/>
                <w:sz w:val="28"/>
                <w:szCs w:val="28"/>
              </w:rPr>
              <w:t>检查人员</w:t>
            </w: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1.</w:t>
            </w:r>
            <w:r>
              <w:rPr>
                <w:rFonts w:hint="eastAsia" w:ascii="仿宋" w:hAnsi="仿宋" w:eastAsia="仿宋" w:cs="仿宋"/>
                <w:kern w:val="0"/>
                <w:sz w:val="28"/>
                <w:szCs w:val="28"/>
                <w:lang w:eastAsia="zh-CN"/>
              </w:rPr>
              <w:t>姓名</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执法证件编号</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440" w:lineRule="exact"/>
              <w:ind w:firstLine="1415" w:firstLineChars="500"/>
              <w:jc w:val="left"/>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lang w:eastAsia="zh-CN"/>
              </w:rPr>
              <w:t>姓名</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执法证件编号</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rPr>
              <w:t>检查时间：</w:t>
            </w:r>
            <w:r>
              <w:rPr>
                <w:rFonts w:hint="eastAsia" w:ascii="仿宋" w:hAnsi="仿宋" w:eastAsia="仿宋" w:cs="仿宋"/>
                <w:kern w:val="0"/>
                <w:sz w:val="28"/>
                <w:szCs w:val="28"/>
                <w:lang w:val="en-US" w:eastAsia="zh-CN"/>
              </w:rPr>
              <w:t>20</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年</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rPr>
              <w:t>日</w:t>
            </w:r>
          </w:p>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rPr>
              <w:t>告知事项：</w:t>
            </w:r>
          </w:p>
          <w:p>
            <w:pPr>
              <w:keepNext w:val="0"/>
              <w:keepLines w:val="0"/>
              <w:pageBreakBefore w:val="0"/>
              <w:widowControl/>
              <w:kinsoku/>
              <w:wordWrap/>
              <w:overflowPunct/>
              <w:topLinePunct w:val="0"/>
              <w:autoSpaceDE/>
              <w:autoSpaceDN/>
              <w:bidi w:val="0"/>
              <w:adjustRightInd w:val="0"/>
              <w:snapToGrid w:val="0"/>
              <w:spacing w:line="440" w:lineRule="exact"/>
              <w:ind w:firstLine="566" w:firstLineChars="200"/>
              <w:jc w:val="left"/>
              <w:textAlignment w:val="auto"/>
              <w:outlineLvl w:val="9"/>
              <w:rPr>
                <w:rFonts w:hint="eastAsia" w:ascii="仿宋" w:hAnsi="仿宋" w:eastAsia="仿宋" w:cs="仿宋"/>
                <w:bCs/>
                <w:sz w:val="28"/>
                <w:szCs w:val="28"/>
              </w:rPr>
            </w:pPr>
            <w:r>
              <w:rPr>
                <w:rFonts w:hint="eastAsia" w:ascii="仿宋" w:hAnsi="仿宋" w:eastAsia="仿宋" w:cs="仿宋"/>
                <w:kern w:val="0"/>
                <w:sz w:val="28"/>
                <w:szCs w:val="28"/>
              </w:rPr>
              <w:t>我们是</w:t>
            </w:r>
            <w:r>
              <w:rPr>
                <w:rFonts w:hint="eastAsia" w:ascii="仿宋" w:hAnsi="仿宋" w:eastAsia="仿宋" w:cs="仿宋"/>
                <w:kern w:val="0"/>
                <w:sz w:val="28"/>
                <w:szCs w:val="28"/>
                <w:lang w:eastAsia="zh-CN"/>
              </w:rPr>
              <w:t>河北省</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kern w:val="0"/>
                <w:sz w:val="28"/>
                <w:szCs w:val="28"/>
                <w:lang w:val="en-US" w:eastAsia="zh-CN"/>
              </w:rPr>
              <w:t>市场监督管理局</w:t>
            </w:r>
            <w:r>
              <w:rPr>
                <w:rFonts w:hint="eastAsia" w:ascii="仿宋" w:hAnsi="仿宋" w:eastAsia="仿宋" w:cs="仿宋"/>
                <w:kern w:val="0"/>
                <w:sz w:val="28"/>
                <w:szCs w:val="28"/>
              </w:rPr>
              <w:t>监督检查人员，</w:t>
            </w:r>
            <w:r>
              <w:rPr>
                <w:rFonts w:hint="eastAsia" w:ascii="仿宋" w:hAnsi="仿宋" w:eastAsia="仿宋" w:cs="仿宋"/>
                <w:bCs/>
                <w:sz w:val="28"/>
                <w:szCs w:val="28"/>
              </w:rPr>
              <w:t>现出示</w:t>
            </w:r>
            <w:r>
              <w:rPr>
                <w:rFonts w:hint="eastAsia" w:ascii="仿宋" w:hAnsi="仿宋" w:eastAsia="仿宋" w:cs="仿宋"/>
                <w:kern w:val="0"/>
                <w:sz w:val="28"/>
                <w:szCs w:val="28"/>
              </w:rPr>
              <w:t>执法证件。</w:t>
            </w:r>
            <w:r>
              <w:rPr>
                <w:rFonts w:hint="eastAsia" w:ascii="仿宋" w:hAnsi="仿宋" w:eastAsia="仿宋" w:cs="仿宋"/>
                <w:bCs/>
                <w:sz w:val="28"/>
                <w:szCs w:val="28"/>
              </w:rPr>
              <w:t>我们依法对你单位进行日常监督检查，请予配合。</w:t>
            </w:r>
          </w:p>
          <w:p>
            <w:pPr>
              <w:keepNext w:val="0"/>
              <w:keepLines w:val="0"/>
              <w:pageBreakBefore w:val="0"/>
              <w:widowControl/>
              <w:kinsoku/>
              <w:wordWrap/>
              <w:overflowPunct/>
              <w:topLinePunct w:val="0"/>
              <w:autoSpaceDE/>
              <w:autoSpaceDN/>
              <w:bidi w:val="0"/>
              <w:adjustRightInd w:val="0"/>
              <w:snapToGrid w:val="0"/>
              <w:spacing w:line="440" w:lineRule="exact"/>
              <w:ind w:firstLine="566" w:firstLineChars="200"/>
              <w:jc w:val="left"/>
              <w:textAlignment w:val="auto"/>
              <w:outlineLvl w:val="9"/>
              <w:rPr>
                <w:rFonts w:hint="eastAsia" w:ascii="仿宋" w:hAnsi="仿宋" w:eastAsia="仿宋" w:cs="仿宋"/>
                <w:bCs/>
                <w:sz w:val="28"/>
                <w:szCs w:val="28"/>
              </w:rPr>
            </w:pPr>
            <w:r>
              <w:rPr>
                <w:rFonts w:hint="eastAsia" w:ascii="仿宋" w:hAnsi="仿宋" w:eastAsia="仿宋" w:cs="仿宋"/>
                <w:sz w:val="28"/>
                <w:szCs w:val="28"/>
              </w:rPr>
              <w:t>依照法律规定，监督检查</w:t>
            </w:r>
            <w:r>
              <w:rPr>
                <w:rFonts w:hint="eastAsia" w:ascii="仿宋" w:hAnsi="仿宋" w:eastAsia="仿宋" w:cs="仿宋"/>
                <w:kern w:val="0"/>
                <w:sz w:val="28"/>
                <w:szCs w:val="28"/>
              </w:rPr>
              <w:t>人员少于两人或者所出示的执法证件与其身份不符的，</w:t>
            </w:r>
            <w:r>
              <w:rPr>
                <w:rFonts w:hint="eastAsia" w:ascii="仿宋" w:hAnsi="仿宋" w:eastAsia="仿宋" w:cs="仿宋"/>
                <w:sz w:val="28"/>
                <w:szCs w:val="28"/>
              </w:rPr>
              <w:t>你单位</w:t>
            </w:r>
            <w:r>
              <w:rPr>
                <w:rFonts w:hint="eastAsia" w:ascii="仿宋" w:hAnsi="仿宋" w:eastAsia="仿宋" w:cs="仿宋"/>
                <w:kern w:val="0"/>
                <w:sz w:val="28"/>
                <w:szCs w:val="28"/>
              </w:rPr>
              <w:t>有权拒绝检查；</w:t>
            </w:r>
            <w:r>
              <w:rPr>
                <w:rFonts w:hint="eastAsia" w:ascii="仿宋" w:hAnsi="仿宋" w:eastAsia="仿宋" w:cs="仿宋"/>
                <w:sz w:val="28"/>
                <w:szCs w:val="28"/>
              </w:rPr>
              <w:t>监督检查人员有下列情形之一的，你单位有权申请回避：（1）系当事人或当事人的近亲属；（2）与</w:t>
            </w:r>
            <w:r>
              <w:rPr>
                <w:rFonts w:hint="eastAsia" w:ascii="仿宋" w:hAnsi="仿宋" w:eastAsia="仿宋" w:cs="仿宋"/>
                <w:sz w:val="28"/>
                <w:szCs w:val="28"/>
                <w:lang w:eastAsia="zh-CN"/>
              </w:rPr>
              <w:t>当事</w:t>
            </w:r>
            <w:r>
              <w:rPr>
                <w:rFonts w:hint="eastAsia" w:ascii="仿宋" w:hAnsi="仿宋" w:eastAsia="仿宋" w:cs="仿宋"/>
                <w:sz w:val="28"/>
                <w:szCs w:val="28"/>
              </w:rPr>
              <w:t>人或</w:t>
            </w:r>
            <w:r>
              <w:rPr>
                <w:rFonts w:hint="eastAsia" w:ascii="仿宋" w:hAnsi="仿宋" w:eastAsia="仿宋" w:cs="仿宋"/>
                <w:sz w:val="28"/>
                <w:szCs w:val="28"/>
                <w:lang w:eastAsia="zh-CN"/>
              </w:rPr>
              <w:t>当事人</w:t>
            </w:r>
            <w:r>
              <w:rPr>
                <w:rFonts w:hint="eastAsia" w:ascii="仿宋" w:hAnsi="仿宋" w:eastAsia="仿宋" w:cs="仿宋"/>
                <w:sz w:val="28"/>
                <w:szCs w:val="28"/>
              </w:rPr>
              <w:t>近亲属有利害关系；（3）与当事人有其他关系，可能影响公正执法的</w:t>
            </w:r>
            <w:r>
              <w:rPr>
                <w:rFonts w:hint="eastAsia" w:ascii="仿宋" w:hAnsi="仿宋" w:eastAsia="仿宋" w:cs="仿宋"/>
                <w:kern w:val="0"/>
                <w:sz w:val="28"/>
                <w:szCs w:val="28"/>
              </w:rPr>
              <w:t>。</w:t>
            </w:r>
          </w:p>
          <w:p>
            <w:pPr>
              <w:keepNext w:val="0"/>
              <w:keepLines w:val="0"/>
              <w:pageBreakBefore w:val="0"/>
              <w:widowControl/>
              <w:kinsoku/>
              <w:wordWrap/>
              <w:overflowPunct/>
              <w:topLinePunct w:val="0"/>
              <w:autoSpaceDE/>
              <w:autoSpaceDN/>
              <w:bidi w:val="0"/>
              <w:adjustRightInd w:val="0"/>
              <w:snapToGrid w:val="0"/>
              <w:spacing w:line="440" w:lineRule="exact"/>
              <w:ind w:firstLine="566" w:firstLineChars="200"/>
              <w:jc w:val="left"/>
              <w:textAlignment w:val="auto"/>
              <w:outlineLvl w:val="9"/>
              <w:rPr>
                <w:rFonts w:hint="eastAsia" w:ascii="仿宋" w:hAnsi="仿宋" w:eastAsia="仿宋" w:cs="仿宋"/>
                <w:bCs/>
                <w:kern w:val="0"/>
                <w:sz w:val="28"/>
                <w:szCs w:val="28"/>
              </w:rPr>
            </w:pPr>
            <w:r>
              <w:rPr>
                <w:rFonts w:hint="eastAsia" w:ascii="仿宋" w:hAnsi="仿宋" w:eastAsia="仿宋" w:cs="仿宋"/>
                <w:bCs/>
                <w:kern w:val="0"/>
                <w:sz w:val="28"/>
                <w:szCs w:val="28"/>
              </w:rPr>
              <w:t>问：你单位是否申请回避？</w:t>
            </w:r>
          </w:p>
          <w:p>
            <w:pPr>
              <w:keepNext w:val="0"/>
              <w:keepLines w:val="0"/>
              <w:pageBreakBefore w:val="0"/>
              <w:widowControl/>
              <w:kinsoku/>
              <w:wordWrap/>
              <w:overflowPunct/>
              <w:topLinePunct w:val="0"/>
              <w:autoSpaceDE/>
              <w:autoSpaceDN/>
              <w:bidi w:val="0"/>
              <w:adjustRightInd w:val="0"/>
              <w:snapToGrid w:val="0"/>
              <w:spacing w:line="440" w:lineRule="exact"/>
              <w:ind w:firstLine="566" w:firstLineChars="200"/>
              <w:jc w:val="left"/>
              <w:textAlignment w:val="auto"/>
              <w:outlineLvl w:val="9"/>
              <w:rPr>
                <w:rFonts w:hint="eastAsia" w:ascii="仿宋" w:hAnsi="仿宋" w:eastAsia="仿宋" w:cs="仿宋"/>
                <w:bCs/>
                <w:kern w:val="0"/>
                <w:sz w:val="28"/>
                <w:szCs w:val="28"/>
                <w:lang w:val="en-US" w:eastAsia="zh-CN"/>
              </w:rPr>
            </w:pPr>
            <w:r>
              <w:rPr>
                <w:rFonts w:hint="eastAsia" w:ascii="仿宋" w:hAnsi="仿宋" w:eastAsia="仿宋" w:cs="仿宋"/>
                <w:bCs/>
                <w:kern w:val="0"/>
                <w:sz w:val="28"/>
                <w:szCs w:val="28"/>
              </w:rPr>
              <w:t>答：</w:t>
            </w:r>
            <w:r>
              <w:rPr>
                <w:rFonts w:hint="eastAsia" w:ascii="仿宋" w:hAnsi="仿宋" w:eastAsia="仿宋" w:cs="仿宋"/>
                <w:bCs/>
                <w:kern w:val="0"/>
                <w:sz w:val="28"/>
                <w:szCs w:val="28"/>
                <w:lang w:eastAsia="zh-CN"/>
              </w:rPr>
              <w:t>是</w:t>
            </w:r>
            <w:r>
              <w:rPr>
                <w:rFonts w:hint="eastAsia" w:ascii="仿宋" w:hAnsi="仿宋" w:eastAsia="仿宋" w:cs="仿宋"/>
                <w:bCs/>
                <w:kern w:val="0"/>
                <w:sz w:val="28"/>
                <w:szCs w:val="28"/>
                <w:lang w:val="en-US" w:eastAsia="zh-CN"/>
              </w:rPr>
              <w:t>□   否□</w:t>
            </w:r>
          </w:p>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hint="eastAsia" w:ascii="仿宋" w:hAnsi="仿宋" w:eastAsia="仿宋" w:cs="仿宋"/>
                <w:kern w:val="0"/>
                <w:sz w:val="28"/>
                <w:szCs w:val="28"/>
              </w:rPr>
            </w:pPr>
          </w:p>
          <w:p>
            <w:pPr>
              <w:keepNext w:val="0"/>
              <w:keepLines w:val="0"/>
              <w:pageBreakBefore w:val="0"/>
              <w:tabs>
                <w:tab w:val="left" w:pos="795"/>
              </w:tabs>
              <w:kinsoku/>
              <w:wordWrap/>
              <w:overflowPunct/>
              <w:topLinePunct w:val="0"/>
              <w:autoSpaceDE/>
              <w:autoSpaceDN/>
              <w:bidi w:val="0"/>
              <w:adjustRightInd w:val="0"/>
              <w:snapToGrid w:val="0"/>
              <w:spacing w:line="440" w:lineRule="exact"/>
              <w:textAlignment w:val="auto"/>
              <w:outlineLvl w:val="9"/>
              <w:rPr>
                <w:rFonts w:hint="eastAsia" w:ascii="仿宋" w:hAnsi="仿宋" w:eastAsia="仿宋" w:cs="仿宋"/>
                <w:sz w:val="28"/>
                <w:szCs w:val="28"/>
              </w:rPr>
            </w:pPr>
            <w:r>
              <w:rPr>
                <w:rFonts w:hint="eastAsia" w:ascii="仿宋" w:hAnsi="仿宋" w:eastAsia="仿宋" w:cs="仿宋"/>
                <w:sz w:val="28"/>
                <w:szCs w:val="28"/>
              </w:rPr>
              <w:t>被检查单位签字：</w:t>
            </w:r>
          </w:p>
          <w:p>
            <w:pPr>
              <w:keepNext w:val="0"/>
              <w:keepLines w:val="0"/>
              <w:pageBreakBefore w:val="0"/>
              <w:tabs>
                <w:tab w:val="left" w:pos="795"/>
              </w:tabs>
              <w:kinsoku/>
              <w:wordWrap/>
              <w:overflowPunct/>
              <w:topLinePunct w:val="0"/>
              <w:autoSpaceDE/>
              <w:autoSpaceDN/>
              <w:bidi w:val="0"/>
              <w:adjustRightInd w:val="0"/>
              <w:snapToGrid w:val="0"/>
              <w:spacing w:line="440" w:lineRule="exact"/>
              <w:textAlignment w:val="auto"/>
              <w:outlineLvl w:val="9"/>
              <w:rPr>
                <w:rFonts w:hint="eastAsia" w:ascii="仿宋" w:hAnsi="仿宋" w:eastAsia="仿宋" w:cs="仿宋"/>
                <w:sz w:val="28"/>
                <w:szCs w:val="28"/>
              </w:rPr>
            </w:pPr>
          </w:p>
          <w:p>
            <w:pPr>
              <w:keepNext w:val="0"/>
              <w:keepLines w:val="0"/>
              <w:pageBreakBefore w:val="0"/>
              <w:tabs>
                <w:tab w:val="left" w:pos="795"/>
              </w:tabs>
              <w:kinsoku/>
              <w:wordWrap/>
              <w:overflowPunct/>
              <w:topLinePunct w:val="0"/>
              <w:autoSpaceDE/>
              <w:autoSpaceDN/>
              <w:bidi w:val="0"/>
              <w:adjustRightInd w:val="0"/>
              <w:snapToGrid w:val="0"/>
              <w:spacing w:line="440" w:lineRule="exact"/>
              <w:textAlignment w:val="auto"/>
              <w:outlineLvl w:val="9"/>
              <w:rPr>
                <w:rFonts w:hint="eastAsia" w:ascii="仿宋" w:hAnsi="仿宋" w:eastAsia="仿宋" w:cs="仿宋"/>
                <w:sz w:val="28"/>
                <w:szCs w:val="28"/>
              </w:rPr>
            </w:pPr>
          </w:p>
          <w:p>
            <w:pPr>
              <w:keepNext w:val="0"/>
              <w:keepLines w:val="0"/>
              <w:pageBreakBefore w:val="0"/>
              <w:tabs>
                <w:tab w:val="left" w:pos="795"/>
              </w:tabs>
              <w:kinsoku/>
              <w:wordWrap/>
              <w:overflowPunct/>
              <w:topLinePunct w:val="0"/>
              <w:autoSpaceDE/>
              <w:autoSpaceDN/>
              <w:bidi w:val="0"/>
              <w:adjustRightInd w:val="0"/>
              <w:snapToGrid w:val="0"/>
              <w:spacing w:line="440" w:lineRule="exact"/>
              <w:textAlignment w:val="auto"/>
              <w:outlineLvl w:val="9"/>
              <w:rPr>
                <w:rFonts w:hint="eastAsia" w:ascii="仿宋" w:hAnsi="仿宋" w:eastAsia="仿宋" w:cs="仿宋"/>
                <w:sz w:val="28"/>
                <w:szCs w:val="28"/>
              </w:rPr>
            </w:pPr>
            <w:r>
              <w:rPr>
                <w:rFonts w:hint="eastAsia" w:ascii="仿宋" w:hAnsi="仿宋" w:eastAsia="仿宋" w:cs="仿宋"/>
                <w:sz w:val="28"/>
                <w:szCs w:val="28"/>
              </w:rPr>
              <w:t>检查人员签字：</w:t>
            </w:r>
          </w:p>
          <w:p>
            <w:pPr>
              <w:keepNext w:val="0"/>
              <w:keepLines w:val="0"/>
              <w:pageBreakBefore w:val="0"/>
              <w:tabs>
                <w:tab w:val="left" w:pos="795"/>
              </w:tabs>
              <w:kinsoku/>
              <w:wordWrap/>
              <w:overflowPunct/>
              <w:topLinePunct w:val="0"/>
              <w:autoSpaceDE/>
              <w:autoSpaceDN/>
              <w:bidi w:val="0"/>
              <w:adjustRightInd w:val="0"/>
              <w:snapToGrid w:val="0"/>
              <w:spacing w:line="440" w:lineRule="exact"/>
              <w:textAlignment w:val="auto"/>
              <w:outlineLvl w:val="9"/>
              <w:rPr>
                <w:rFonts w:hint="eastAsia" w:ascii="仿宋" w:hAnsi="仿宋" w:eastAsia="仿宋" w:cs="仿宋"/>
                <w:sz w:val="28"/>
                <w:szCs w:val="28"/>
              </w:rPr>
            </w:pPr>
          </w:p>
          <w:p>
            <w:pPr>
              <w:keepNext w:val="0"/>
              <w:keepLines w:val="0"/>
              <w:pageBreakBefore w:val="0"/>
              <w:widowControl/>
              <w:kinsoku/>
              <w:wordWrap/>
              <w:overflowPunct/>
              <w:topLinePunct w:val="0"/>
              <w:autoSpaceDE/>
              <w:autoSpaceDN/>
              <w:bidi w:val="0"/>
              <w:adjustRightInd w:val="0"/>
              <w:snapToGrid w:val="0"/>
              <w:spacing w:line="440" w:lineRule="exact"/>
              <w:jc w:val="left"/>
              <w:textAlignment w:val="auto"/>
              <w:outlineLvl w:val="9"/>
              <w:rPr>
                <w:rFonts w:hint="eastAsia" w:ascii="仿宋" w:hAnsi="仿宋" w:eastAsia="仿宋" w:cs="仿宋"/>
                <w:kern w:val="0"/>
                <w:sz w:val="28"/>
                <w:szCs w:val="28"/>
              </w:rPr>
            </w:pPr>
            <w:r>
              <w:rPr>
                <w:rFonts w:hint="eastAsia" w:ascii="仿宋" w:hAnsi="仿宋" w:eastAsia="仿宋" w:cs="仿宋"/>
                <w:kern w:val="0"/>
                <w:sz w:val="28"/>
                <w:szCs w:val="28"/>
              </w:rPr>
              <w:t xml:space="preserve">                                          </w:t>
            </w:r>
            <w:r>
              <w:rPr>
                <w:rFonts w:hint="eastAsia" w:ascii="仿宋" w:hAnsi="仿宋" w:eastAsia="仿宋" w:cs="仿宋"/>
                <w:kern w:val="0"/>
                <w:sz w:val="28"/>
                <w:szCs w:val="28"/>
                <w:lang w:val="en-US" w:eastAsia="zh-CN"/>
              </w:rPr>
              <w:t>20</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年</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月</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日</w:t>
            </w:r>
          </w:p>
          <w:p>
            <w:pPr>
              <w:widowControl/>
              <w:adjustRightInd w:val="0"/>
              <w:snapToGrid w:val="0"/>
              <w:spacing w:line="400" w:lineRule="exact"/>
              <w:jc w:val="left"/>
              <w:rPr>
                <w:rFonts w:hint="eastAsia" w:ascii="仿宋" w:hAnsi="仿宋" w:eastAsia="仿宋" w:cs="仿宋"/>
                <w:kern w:val="0"/>
                <w:sz w:val="28"/>
                <w:szCs w:val="28"/>
              </w:rPr>
            </w:pPr>
          </w:p>
        </w:tc>
      </w:tr>
    </w:tbl>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9"/>
        <w:rPr>
          <w:rFonts w:hint="eastAsia" w:ascii="楷体" w:hAnsi="楷体" w:eastAsia="楷体" w:cs="楷体"/>
          <w:lang w:val="en-US" w:eastAsia="zh-CN"/>
        </w:rPr>
      </w:pPr>
    </w:p>
    <w:tbl>
      <w:tblPr>
        <w:tblStyle w:val="5"/>
        <w:tblW w:w="8890" w:type="dxa"/>
        <w:tblInd w:w="0" w:type="dxa"/>
        <w:shd w:val="clear" w:color="auto" w:fill="auto"/>
        <w:tblLayout w:type="fixed"/>
        <w:tblCellMar>
          <w:top w:w="0" w:type="dxa"/>
          <w:left w:w="0" w:type="dxa"/>
          <w:bottom w:w="0" w:type="dxa"/>
          <w:right w:w="0" w:type="dxa"/>
        </w:tblCellMar>
      </w:tblPr>
      <w:tblGrid>
        <w:gridCol w:w="640"/>
        <w:gridCol w:w="380"/>
        <w:gridCol w:w="590"/>
        <w:gridCol w:w="550"/>
        <w:gridCol w:w="4380"/>
        <w:gridCol w:w="1150"/>
        <w:gridCol w:w="400"/>
        <w:gridCol w:w="400"/>
        <w:gridCol w:w="400"/>
      </w:tblGrid>
      <w:tr>
        <w:tblPrEx>
          <w:shd w:val="clear" w:color="auto" w:fill="auto"/>
          <w:tblLayout w:type="fixed"/>
          <w:tblCellMar>
            <w:top w:w="0" w:type="dxa"/>
            <w:left w:w="0" w:type="dxa"/>
            <w:bottom w:w="0" w:type="dxa"/>
            <w:right w:w="0" w:type="dxa"/>
          </w:tblCellMar>
        </w:tblPrEx>
        <w:trPr>
          <w:trHeight w:val="1154" w:hRule="atLeast"/>
        </w:trPr>
        <w:tc>
          <w:tcPr>
            <w:tcW w:w="640" w:type="dxa"/>
            <w:tcBorders>
              <w:top w:val="single" w:color="000000" w:sz="8"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重点检查点位</w:t>
            </w:r>
          </w:p>
        </w:tc>
        <w:tc>
          <w:tcPr>
            <w:tcW w:w="38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项目序号</w:t>
            </w:r>
          </w:p>
        </w:tc>
        <w:tc>
          <w:tcPr>
            <w:tcW w:w="59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5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具体项目</w:t>
            </w:r>
          </w:p>
        </w:tc>
        <w:tc>
          <w:tcPr>
            <w:tcW w:w="438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检查内容</w:t>
            </w:r>
          </w:p>
        </w:tc>
        <w:tc>
          <w:tcPr>
            <w:tcW w:w="115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检查结果</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分值</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得分</w:t>
            </w:r>
          </w:p>
        </w:tc>
        <w:tc>
          <w:tcPr>
            <w:tcW w:w="400" w:type="dxa"/>
            <w:tcBorders>
              <w:top w:val="single" w:color="000000" w:sz="8"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扣分</w:t>
            </w:r>
          </w:p>
        </w:tc>
      </w:tr>
      <w:tr>
        <w:tblPrEx>
          <w:tblLayout w:type="fixed"/>
          <w:tblCellMar>
            <w:top w:w="0" w:type="dxa"/>
            <w:left w:w="0" w:type="dxa"/>
            <w:bottom w:w="0" w:type="dxa"/>
            <w:right w:w="0" w:type="dxa"/>
          </w:tblCellMar>
        </w:tblPrEx>
        <w:trPr>
          <w:trHeight w:val="567" w:hRule="atLeast"/>
        </w:trPr>
        <w:tc>
          <w:tcPr>
            <w:tcW w:w="64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信息公示区</w:t>
            </w: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信息</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公示</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在经营场所醒目位置规范公示食品经营许可证</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公示上一次日常监督检查结果记录表</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103</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公示量化等级标识</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食品</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经营</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许可</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★食品经营许可证合法有效，不存在转让、涂改、出借、倒卖、出租等情况</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67"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经营地址与食品经营许可证一致</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67"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203</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cs="仿宋"/>
                <w:i w:val="0"/>
                <w:color w:val="000000"/>
                <w:kern w:val="0"/>
                <w:sz w:val="21"/>
                <w:szCs w:val="21"/>
                <w:u w:val="none"/>
                <w:lang w:val="en-US" w:eastAsia="zh-CN" w:bidi="ar"/>
              </w:rPr>
              <w:t>实际</w:t>
            </w:r>
            <w:r>
              <w:rPr>
                <w:rFonts w:hint="eastAsia" w:ascii="仿宋" w:hAnsi="仿宋" w:eastAsia="仿宋" w:cs="仿宋"/>
                <w:i w:val="0"/>
                <w:color w:val="000000"/>
                <w:kern w:val="0"/>
                <w:sz w:val="21"/>
                <w:szCs w:val="21"/>
                <w:u w:val="none"/>
                <w:lang w:val="en-US" w:eastAsia="zh-CN" w:bidi="ar"/>
              </w:rPr>
              <w:t>经营项目与食品经营许可证一致</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020" w:hRule="atLeast"/>
        </w:trPr>
        <w:tc>
          <w:tcPr>
            <w:tcW w:w="64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原料贮存区</w:t>
            </w: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原料</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cs="仿宋"/>
                <w:i w:val="0"/>
                <w:color w:val="000000"/>
                <w:kern w:val="0"/>
                <w:sz w:val="24"/>
                <w:szCs w:val="24"/>
                <w:u w:val="none"/>
                <w:lang w:val="en-US" w:eastAsia="zh-CN" w:bidi="ar"/>
              </w:rPr>
              <w:t>贮存</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同一库房内贮存不同类别的食品和非食品（如食品包装材料等），分设存放区域，不同区域有明显的区分标识</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原料外包装标识符合要求，按照外包装标识的条件和要求规范贮存</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67"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303</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★食品贮存设施设备运转正常，并保持清洁</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304</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冷冻（藏）设施正常运转，有正确显示设施内部温度的装置，设施内部温度符合规定</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305</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冷冻（藏）库使用防爆灯</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306</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食品添加剂专人负责保管，设有存放食品添加剂的专柜（位），并标注“食品添加剂”字样</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307</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食品添加剂标签上标注有使用范围、用量、使用方法等内容</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4</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原料</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质量</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检查</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食品具有正常的感官性状，无超过保质期、无腐败变质等异常情形</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273" w:hRule="atLeast"/>
        </w:trPr>
        <w:tc>
          <w:tcPr>
            <w:tcW w:w="640" w:type="dxa"/>
            <w:vMerge w:val="continue"/>
            <w:tcBorders>
              <w:top w:val="single" w:color="000000" w:sz="4" w:space="0"/>
              <w:left w:val="single" w:color="000000" w:sz="8"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8"/>
                <w:szCs w:val="28"/>
                <w:u w:val="none"/>
              </w:rPr>
            </w:pPr>
          </w:p>
        </w:tc>
        <w:tc>
          <w:tcPr>
            <w:tcW w:w="380" w:type="dxa"/>
            <w:vMerge w:val="continue"/>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4"/>
                <w:szCs w:val="24"/>
                <w:u w:val="none"/>
              </w:rPr>
            </w:pPr>
          </w:p>
        </w:tc>
        <w:tc>
          <w:tcPr>
            <w:tcW w:w="590" w:type="dxa"/>
            <w:vMerge w:val="continue"/>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4"/>
                <w:szCs w:val="24"/>
                <w:u w:val="none"/>
              </w:rPr>
            </w:pPr>
          </w:p>
        </w:tc>
        <w:tc>
          <w:tcPr>
            <w:tcW w:w="55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402</w:t>
            </w:r>
          </w:p>
        </w:tc>
        <w:tc>
          <w:tcPr>
            <w:tcW w:w="438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定期检查食品安全状态，对变质、超过保质期或者回收的食品进行显著标示或者单独存放在有明确标志的场所，及时采取无害化处理、销毁等措施并如实记录</w:t>
            </w:r>
          </w:p>
        </w:tc>
        <w:tc>
          <w:tcPr>
            <w:tcW w:w="115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8"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223" w:hRule="atLeast"/>
        </w:trPr>
        <w:tc>
          <w:tcPr>
            <w:tcW w:w="640" w:type="dxa"/>
            <w:tcBorders>
              <w:top w:val="single" w:color="000000" w:sz="8"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重点检查点位</w:t>
            </w:r>
          </w:p>
        </w:tc>
        <w:tc>
          <w:tcPr>
            <w:tcW w:w="38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项目序号</w:t>
            </w:r>
          </w:p>
        </w:tc>
        <w:tc>
          <w:tcPr>
            <w:tcW w:w="59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5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具体项目</w:t>
            </w:r>
          </w:p>
        </w:tc>
        <w:tc>
          <w:tcPr>
            <w:tcW w:w="438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检查内容</w:t>
            </w:r>
          </w:p>
        </w:tc>
        <w:tc>
          <w:tcPr>
            <w:tcW w:w="115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检查结果</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分值</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得分</w:t>
            </w:r>
          </w:p>
        </w:tc>
        <w:tc>
          <w:tcPr>
            <w:tcW w:w="400" w:type="dxa"/>
            <w:tcBorders>
              <w:top w:val="single" w:color="000000" w:sz="8"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扣分</w:t>
            </w:r>
          </w:p>
        </w:tc>
      </w:tr>
      <w:tr>
        <w:tblPrEx>
          <w:tblLayout w:type="fixed"/>
          <w:tblCellMar>
            <w:top w:w="0" w:type="dxa"/>
            <w:left w:w="0" w:type="dxa"/>
            <w:bottom w:w="0" w:type="dxa"/>
            <w:right w:w="0" w:type="dxa"/>
          </w:tblCellMar>
        </w:tblPrEx>
        <w:trPr>
          <w:trHeight w:val="794" w:hRule="atLeast"/>
        </w:trPr>
        <w:tc>
          <w:tcPr>
            <w:tcW w:w="64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粗加工区</w:t>
            </w: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场所</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卫生</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★食品处理应在室内，场所布局合理，食品加工、陈列等设施设备运转正常，保持清洁</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0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场所内整洁，无污染源、活畜禽和现场宰杀</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503</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地面、墙壁、门窗、天花板等材质、状态符合要求，无霉斑污垢、积油、积水等情形</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0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6</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粗加工与切配</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需清洗的食品原料应洗净后使用</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02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602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盛放或加工制作动物性、植物性、水产品等食品原料的工用具和容器分开使用，并有明显区分标识</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专间</w:t>
            </w: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7</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场所</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布局</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701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专间内布局合理，环境整洁，地面、墙壁、天花板、排水设施等材质、状态符合要求</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0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702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各专间有标明用途的明显标识</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703</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门能自动闭合，窗户为封闭式（用于传递食品的除外），门和食品传递窗口及时关闭</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8</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设施</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设备</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★食品加工、陈列等设施设备运转正常，并保持清洁</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0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使用专用的加工工具</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803</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专间内有专用的消毒（含空气消毒）、冷冻（藏）、独立的空调等设施，设施运转正常</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0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804</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专间内温度不高于25℃</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02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9</w:t>
            </w:r>
          </w:p>
        </w:tc>
        <w:tc>
          <w:tcPr>
            <w:tcW w:w="5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人员</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管理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901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专间内由专人加工制作。加工制作人员穿戴专用的工作衣帽、佩戴口罩，严格清洗消毒手部后进入专间</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02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10</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加工</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制作</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★生食类食品、裱花蛋糕、冷食类食品等的加工在专间内按规定进行（可不在专间加工的情形除外）</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0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1002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食品的冷却、分装等应在专间内进行</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900" w:hRule="atLeast"/>
        </w:trPr>
        <w:tc>
          <w:tcPr>
            <w:tcW w:w="640" w:type="dxa"/>
            <w:vMerge w:val="continue"/>
            <w:tcBorders>
              <w:top w:val="single" w:color="000000" w:sz="4" w:space="0"/>
              <w:left w:val="single" w:color="000000" w:sz="8"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11</w:t>
            </w:r>
          </w:p>
        </w:tc>
        <w:tc>
          <w:tcPr>
            <w:tcW w:w="590" w:type="dxa"/>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废弃物管理</w:t>
            </w:r>
          </w:p>
        </w:tc>
        <w:tc>
          <w:tcPr>
            <w:tcW w:w="55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1101</w:t>
            </w:r>
          </w:p>
        </w:tc>
        <w:tc>
          <w:tcPr>
            <w:tcW w:w="438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专间内的废弃物容器的盖子为非手动开启式</w:t>
            </w:r>
          </w:p>
        </w:tc>
        <w:tc>
          <w:tcPr>
            <w:tcW w:w="115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8"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065" w:hRule="atLeast"/>
        </w:trPr>
        <w:tc>
          <w:tcPr>
            <w:tcW w:w="640" w:type="dxa"/>
            <w:tcBorders>
              <w:top w:val="single" w:color="000000" w:sz="8"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重点检查点位</w:t>
            </w:r>
          </w:p>
        </w:tc>
        <w:tc>
          <w:tcPr>
            <w:tcW w:w="38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项目序号</w:t>
            </w:r>
          </w:p>
        </w:tc>
        <w:tc>
          <w:tcPr>
            <w:tcW w:w="59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5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具体项目</w:t>
            </w:r>
          </w:p>
        </w:tc>
        <w:tc>
          <w:tcPr>
            <w:tcW w:w="438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检查内容</w:t>
            </w:r>
          </w:p>
        </w:tc>
        <w:tc>
          <w:tcPr>
            <w:tcW w:w="115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检查结果</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分值</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得分</w:t>
            </w:r>
          </w:p>
        </w:tc>
        <w:tc>
          <w:tcPr>
            <w:tcW w:w="400" w:type="dxa"/>
            <w:tcBorders>
              <w:top w:val="single" w:color="000000" w:sz="8"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扣分</w:t>
            </w:r>
          </w:p>
        </w:tc>
      </w:tr>
      <w:tr>
        <w:tblPrEx>
          <w:tblLayout w:type="fixed"/>
          <w:tblCellMar>
            <w:top w:w="0" w:type="dxa"/>
            <w:left w:w="0" w:type="dxa"/>
            <w:bottom w:w="0" w:type="dxa"/>
            <w:right w:w="0" w:type="dxa"/>
          </w:tblCellMar>
        </w:tblPrEx>
        <w:trPr>
          <w:trHeight w:val="595" w:hRule="atLeast"/>
        </w:trPr>
        <w:tc>
          <w:tcPr>
            <w:tcW w:w="64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烹饪区</w:t>
            </w:r>
          </w:p>
        </w:tc>
        <w:tc>
          <w:tcPr>
            <w:tcW w:w="38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12</w:t>
            </w:r>
          </w:p>
        </w:tc>
        <w:tc>
          <w:tcPr>
            <w:tcW w:w="5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场所</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卫生</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1201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布局合理，环境整洁，地面、墙壁、门窗、天花板、排水设施等材质、状态符合要求</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95"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13</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设施</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设备</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★食品加工、陈列等设施设备运转正常，并保持清洁</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283"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盛放调味料的容器表面清洁，</w:t>
            </w:r>
            <w:r>
              <w:rPr>
                <w:rFonts w:hint="eastAsia" w:ascii="仿宋" w:hAnsi="仿宋" w:cs="仿宋"/>
                <w:i w:val="0"/>
                <w:color w:val="000000"/>
                <w:kern w:val="0"/>
                <w:sz w:val="21"/>
                <w:szCs w:val="21"/>
                <w:u w:val="none"/>
                <w:lang w:val="en-US" w:eastAsia="zh-CN" w:bidi="ar"/>
              </w:rPr>
              <w:t>使用后</w:t>
            </w:r>
            <w:r>
              <w:rPr>
                <w:rFonts w:hint="eastAsia" w:ascii="仿宋" w:hAnsi="仿宋" w:eastAsia="仿宋" w:cs="仿宋"/>
                <w:i w:val="0"/>
                <w:color w:val="000000"/>
                <w:kern w:val="0"/>
                <w:sz w:val="21"/>
                <w:szCs w:val="21"/>
                <w:u w:val="none"/>
                <w:lang w:val="en-US" w:eastAsia="zh-CN" w:bidi="ar"/>
              </w:rPr>
              <w:t>加盖存放</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95"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1303</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加工动物性、植物性、水产品等食品原料的容器、工用具分开使用，并有明显区分标识</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95"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1304</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食品原料、半成品与成品在盛放、贮存时相互分开</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90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14</w:t>
            </w:r>
          </w:p>
        </w:tc>
        <w:tc>
          <w:tcPr>
            <w:tcW w:w="5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防尘防有害生物设施</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1401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配备防尘、防蝇、防鼠、防虫等设施设备</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36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15</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通风排烟和照明设施</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1501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配备通风、排烟设施，正常使用，定期清洁</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912"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1502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有充足的自然光或人工照明设施，光源不改变食品的感官颜色</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283"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16</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加工</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制作</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★未采购、贮存、使用国家禁止经营的食品</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未贮存和添加由国务院食品安全监督管理部门会同国务院卫生行政等部门发布的非食品用化学物质和其他可能危害人体健康的物质</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95"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1603</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油炸类食品、烧烤类食品、火锅类食品、糕点面点类食品、自制饮品等加工过程符合要求</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95"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1604</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食品再加热符合要求，食品中心温度达到70℃以上</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95"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1605</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食品添加剂由专人负责领用、登记，并保存相关记录</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67"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1606</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★未超范围、超限量使用食品添加剂，准确称量和记录有“最大使用量”规定的食品添加剂</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95"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1607</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★未采购、贮存、使用亚硝酸盐（包括亚硝酸钠、亚硝酸钾）</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95"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1608</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供水设施符合要求，用水符合生活饮用水卫生标准</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95"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17</w:t>
            </w:r>
          </w:p>
        </w:tc>
        <w:tc>
          <w:tcPr>
            <w:tcW w:w="5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食品</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留样</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1701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★对加工制作的每餐次食品成品留样,每个品种留样量不少于125克，并有留样记录</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79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18</w:t>
            </w:r>
          </w:p>
        </w:tc>
        <w:tc>
          <w:tcPr>
            <w:tcW w:w="5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废弃物处理</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1801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餐厨废弃物存放容器与食品加工制作容器有明显区分标识，并及时清理，餐厨废弃物未溢出存放容器。存放废弃物的容器设有盖子</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95" w:hRule="atLeast"/>
        </w:trPr>
        <w:tc>
          <w:tcPr>
            <w:tcW w:w="640" w:type="dxa"/>
            <w:vMerge w:val="continue"/>
            <w:tcBorders>
              <w:top w:val="single" w:color="000000" w:sz="4" w:space="0"/>
              <w:left w:val="single" w:color="000000" w:sz="8"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19</w:t>
            </w:r>
          </w:p>
        </w:tc>
        <w:tc>
          <w:tcPr>
            <w:tcW w:w="590" w:type="dxa"/>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人员</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管理</w:t>
            </w:r>
          </w:p>
        </w:tc>
        <w:tc>
          <w:tcPr>
            <w:tcW w:w="55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1901</w:t>
            </w:r>
          </w:p>
        </w:tc>
        <w:tc>
          <w:tcPr>
            <w:tcW w:w="438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从事接触直接入口食品工作的从业人员，加工制作食品前对手部进行清洗消毒</w:t>
            </w:r>
          </w:p>
        </w:tc>
        <w:tc>
          <w:tcPr>
            <w:tcW w:w="115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8"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238" w:hRule="atLeast"/>
        </w:trPr>
        <w:tc>
          <w:tcPr>
            <w:tcW w:w="640" w:type="dxa"/>
            <w:tcBorders>
              <w:top w:val="single" w:color="000000" w:sz="8"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重点检查点位</w:t>
            </w:r>
          </w:p>
        </w:tc>
        <w:tc>
          <w:tcPr>
            <w:tcW w:w="38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项目序号</w:t>
            </w:r>
          </w:p>
        </w:tc>
        <w:tc>
          <w:tcPr>
            <w:tcW w:w="59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5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具体项目</w:t>
            </w:r>
          </w:p>
        </w:tc>
        <w:tc>
          <w:tcPr>
            <w:tcW w:w="438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检查内容</w:t>
            </w:r>
          </w:p>
        </w:tc>
        <w:tc>
          <w:tcPr>
            <w:tcW w:w="115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检查结果</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分值</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得分</w:t>
            </w:r>
          </w:p>
        </w:tc>
        <w:tc>
          <w:tcPr>
            <w:tcW w:w="400" w:type="dxa"/>
            <w:tcBorders>
              <w:top w:val="single" w:color="000000" w:sz="8"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扣分</w:t>
            </w:r>
          </w:p>
        </w:tc>
      </w:tr>
      <w:tr>
        <w:tblPrEx>
          <w:tblLayout w:type="fixed"/>
          <w:tblCellMar>
            <w:top w:w="0" w:type="dxa"/>
            <w:left w:w="0" w:type="dxa"/>
            <w:bottom w:w="0" w:type="dxa"/>
            <w:right w:w="0" w:type="dxa"/>
          </w:tblCellMar>
        </w:tblPrEx>
        <w:trPr>
          <w:trHeight w:val="1191" w:hRule="atLeast"/>
        </w:trPr>
        <w:tc>
          <w:tcPr>
            <w:tcW w:w="64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餐用具清洗消毒保洁区</w:t>
            </w: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20</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清洗</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有专用的餐用具清洗消毒水池，与食品原料、清洁用具及接触非直接入口食品的工具、容器清洗水池分开</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879"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2002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洗涤剂、消毒剂的包装标识</w:t>
            </w:r>
            <w:r>
              <w:rPr>
                <w:rFonts w:hint="eastAsia" w:ascii="仿宋" w:hAnsi="仿宋" w:cs="仿宋"/>
                <w:i w:val="0"/>
                <w:color w:val="000000"/>
                <w:kern w:val="0"/>
                <w:sz w:val="21"/>
                <w:szCs w:val="21"/>
                <w:u w:val="none"/>
                <w:lang w:val="en-US" w:eastAsia="zh-CN" w:bidi="ar"/>
              </w:rPr>
              <w:t>应</w:t>
            </w:r>
            <w:r>
              <w:rPr>
                <w:rFonts w:hint="eastAsia" w:ascii="仿宋" w:hAnsi="仿宋" w:eastAsia="仿宋" w:cs="仿宋"/>
                <w:i w:val="0"/>
                <w:color w:val="000000"/>
                <w:kern w:val="0"/>
                <w:sz w:val="21"/>
                <w:szCs w:val="21"/>
                <w:u w:val="none"/>
                <w:lang w:val="en-US" w:eastAsia="zh-CN" w:bidi="ar"/>
              </w:rPr>
              <w:t>有产品名称、生产厂名和厂址等内容</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879"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21</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消毒</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2101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★采用物理消毒的，消毒设备正常运转，消毒温度和时间符合相关要求</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191"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2102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★采用化学消毒的，配有含氯等消毒剂和水池等消毒设施设备，消毒液配制行为和消毒液浓度符合相关要求</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191"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22</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保洁</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2201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餐用具和盛放直接入口食品的容器用后洗净、消毒，保持清洁，存放在清洁、专用、密闭的保洁设施中，并有明显区分标识</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60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2202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使用敞开式货架存放餐用具，应采取防护措施</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85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2203</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集中消毒餐饮具的采购、包装符合要求</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879" w:hRule="atLeast"/>
        </w:trPr>
        <w:tc>
          <w:tcPr>
            <w:tcW w:w="64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个人卫生设施和卫生间</w:t>
            </w: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23</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洗手</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设施</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2301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★食品处理区有数量充足、运转正常的洗手消毒设施</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60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2302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从业人员专用洗手设施附近应有洗手方法标识</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879"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24</w:t>
            </w:r>
          </w:p>
        </w:tc>
        <w:tc>
          <w:tcPr>
            <w:tcW w:w="5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更衣</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设施</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2401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更衣区应与食品处理区处于同一建筑物内，空间、设施满足需要</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191"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仿宋" w:hAnsi="仿宋" w:eastAsia="仿宋" w:cs="仿宋"/>
                <w:i w:val="0"/>
                <w:color w:val="000000"/>
                <w:sz w:val="24"/>
                <w:szCs w:val="24"/>
                <w:u w:val="none"/>
              </w:rPr>
            </w:pP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25</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卫生间</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2501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卫生间不得设置在食品处理区内，卫生间出入口不应直对食品处理区，与外界直接相通的门能自动关闭</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85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000000"/>
                <w:sz w:val="28"/>
                <w:szCs w:val="28"/>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2502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卫生间具有独立排风系统和照明，定期清理，保持清洁、卫生</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600" w:hRule="atLeast"/>
        </w:trPr>
        <w:tc>
          <w:tcPr>
            <w:tcW w:w="640" w:type="dxa"/>
            <w:vMerge w:val="continue"/>
            <w:tcBorders>
              <w:top w:val="single" w:color="000000" w:sz="4" w:space="0"/>
              <w:left w:val="single" w:color="000000" w:sz="8"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000000"/>
                <w:sz w:val="28"/>
                <w:szCs w:val="28"/>
                <w:u w:val="none"/>
              </w:rPr>
            </w:pPr>
          </w:p>
        </w:tc>
        <w:tc>
          <w:tcPr>
            <w:tcW w:w="380" w:type="dxa"/>
            <w:vMerge w:val="continue"/>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000000"/>
                <w:sz w:val="24"/>
                <w:szCs w:val="24"/>
                <w:u w:val="none"/>
              </w:rPr>
            </w:pPr>
          </w:p>
        </w:tc>
        <w:tc>
          <w:tcPr>
            <w:tcW w:w="590" w:type="dxa"/>
            <w:vMerge w:val="continue"/>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80" w:lineRule="exact"/>
              <w:jc w:val="center"/>
              <w:rPr>
                <w:rFonts w:hint="eastAsia" w:ascii="宋体" w:hAnsi="宋体" w:eastAsia="宋体" w:cs="宋体"/>
                <w:i w:val="0"/>
                <w:color w:val="000000"/>
                <w:sz w:val="24"/>
                <w:szCs w:val="24"/>
                <w:u w:val="none"/>
              </w:rPr>
            </w:pPr>
          </w:p>
        </w:tc>
        <w:tc>
          <w:tcPr>
            <w:tcW w:w="55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2503</w:t>
            </w:r>
          </w:p>
        </w:tc>
        <w:tc>
          <w:tcPr>
            <w:tcW w:w="438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卫生间出口附近设有洗手、干手设施</w:t>
            </w:r>
          </w:p>
        </w:tc>
        <w:tc>
          <w:tcPr>
            <w:tcW w:w="115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8"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8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440" w:hRule="atLeast"/>
        </w:trPr>
        <w:tc>
          <w:tcPr>
            <w:tcW w:w="640" w:type="dxa"/>
            <w:tcBorders>
              <w:top w:val="single" w:color="000000" w:sz="8"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重点检查点位</w:t>
            </w:r>
          </w:p>
        </w:tc>
        <w:tc>
          <w:tcPr>
            <w:tcW w:w="38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项目序号</w:t>
            </w:r>
          </w:p>
        </w:tc>
        <w:tc>
          <w:tcPr>
            <w:tcW w:w="59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5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具体项目</w:t>
            </w:r>
          </w:p>
        </w:tc>
        <w:tc>
          <w:tcPr>
            <w:tcW w:w="438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检查内容</w:t>
            </w:r>
          </w:p>
        </w:tc>
        <w:tc>
          <w:tcPr>
            <w:tcW w:w="115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检查结果</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分值</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得分</w:t>
            </w:r>
          </w:p>
        </w:tc>
        <w:tc>
          <w:tcPr>
            <w:tcW w:w="400" w:type="dxa"/>
            <w:tcBorders>
              <w:top w:val="single" w:color="000000" w:sz="8"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扣分</w:t>
            </w:r>
          </w:p>
        </w:tc>
      </w:tr>
      <w:tr>
        <w:tblPrEx>
          <w:tblLayout w:type="fixed"/>
          <w:tblCellMar>
            <w:top w:w="0" w:type="dxa"/>
            <w:left w:w="0" w:type="dxa"/>
            <w:bottom w:w="0" w:type="dxa"/>
            <w:right w:w="0" w:type="dxa"/>
          </w:tblCellMar>
        </w:tblPrEx>
        <w:trPr>
          <w:trHeight w:val="1247" w:hRule="atLeast"/>
        </w:trPr>
        <w:tc>
          <w:tcPr>
            <w:tcW w:w="64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配送</w:t>
            </w: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26</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设施</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设备</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2601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贮存、运输对温度、湿度等有特殊要求的食品，具备保温、冷藏或者冷冻等设施设备，并保持有效运行</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247"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2602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★使用专用的车辆配送食品，不得与运输杀虫剂、杀鼠剂等有毒有害物品的车辆混用</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247"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2603</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配送前，清洗消毒盛放食品成品的容器（一次性容器除外）</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247"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27</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配送</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条件</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要求</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2701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★中央厨房配送的食品应有包装或使用密闭容器盛放。容器材料应符合食品安全国家标准或有关规定</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47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2702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★中央厨房配送食品的包装或容器上应标注中央厨房的名称、地址、许可证号、联系方式，以及食品名称、加工制</w:t>
            </w:r>
            <w:bookmarkStart w:id="0" w:name="_GoBack"/>
            <w:bookmarkEnd w:id="0"/>
            <w:r>
              <w:rPr>
                <w:rFonts w:hint="eastAsia" w:ascii="仿宋" w:hAnsi="仿宋" w:eastAsia="仿宋" w:cs="仿宋"/>
                <w:i w:val="0"/>
                <w:color w:val="000000"/>
                <w:kern w:val="0"/>
                <w:sz w:val="21"/>
                <w:szCs w:val="21"/>
                <w:u w:val="none"/>
                <w:lang w:val="en-US" w:eastAsia="zh-CN" w:bidi="ar"/>
              </w:rPr>
              <w:t>作时间、保存条件、保存期限、加工制作要求等</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247"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2703</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★集体用餐配送单位配送的食品应使用密闭容器盛放</w:t>
            </w:r>
            <w:r>
              <w:rPr>
                <w:rFonts w:hint="eastAsia" w:ascii="仿宋" w:hAnsi="仿宋" w:cs="仿宋"/>
                <w:i w:val="0"/>
                <w:color w:val="000000"/>
                <w:kern w:val="0"/>
                <w:sz w:val="21"/>
                <w:szCs w:val="21"/>
                <w:u w:val="none"/>
                <w:lang w:val="en-US" w:eastAsia="zh-CN" w:bidi="ar"/>
              </w:rPr>
              <w:t>。</w:t>
            </w:r>
            <w:r>
              <w:rPr>
                <w:rFonts w:hint="eastAsia" w:ascii="仿宋" w:hAnsi="仿宋" w:eastAsia="仿宋" w:cs="仿宋"/>
                <w:i w:val="0"/>
                <w:color w:val="000000"/>
                <w:kern w:val="0"/>
                <w:sz w:val="21"/>
                <w:szCs w:val="21"/>
                <w:u w:val="none"/>
                <w:lang w:val="en-US" w:eastAsia="zh-CN" w:bidi="ar"/>
              </w:rPr>
              <w:t>容器材料应符合食品安全国家标准或有关规定</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247"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kern w:val="0"/>
                <w:sz w:val="21"/>
                <w:szCs w:val="21"/>
                <w:u w:val="none"/>
                <w:lang w:val="en-US" w:eastAsia="zh-CN" w:bidi="ar"/>
              </w:rPr>
            </w:pPr>
            <w:r>
              <w:rPr>
                <w:rFonts w:hint="eastAsia" w:ascii="仿宋" w:hAnsi="仿宋" w:cs="仿宋"/>
                <w:i w:val="0"/>
                <w:color w:val="000000"/>
                <w:kern w:val="0"/>
                <w:sz w:val="21"/>
                <w:szCs w:val="21"/>
                <w:u w:val="none"/>
                <w:lang w:val="en-US" w:eastAsia="zh-CN" w:bidi="ar"/>
              </w:rPr>
              <w:t>2704</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★集体用餐配送单位配送食品</w:t>
            </w:r>
            <w:r>
              <w:rPr>
                <w:rFonts w:hint="eastAsia" w:ascii="仿宋" w:hAnsi="仿宋" w:cs="仿宋"/>
                <w:i w:val="0"/>
                <w:color w:val="000000"/>
                <w:kern w:val="0"/>
                <w:sz w:val="21"/>
                <w:szCs w:val="21"/>
                <w:u w:val="none"/>
                <w:lang w:val="en-US" w:eastAsia="zh-CN" w:bidi="ar"/>
              </w:rPr>
              <w:t>的</w:t>
            </w:r>
            <w:r>
              <w:rPr>
                <w:rFonts w:hint="eastAsia" w:ascii="仿宋" w:hAnsi="仿宋" w:eastAsia="仿宋" w:cs="仿宋"/>
                <w:i w:val="0"/>
                <w:color w:val="000000"/>
                <w:kern w:val="0"/>
                <w:sz w:val="21"/>
                <w:szCs w:val="21"/>
                <w:u w:val="none"/>
                <w:lang w:val="en-US" w:eastAsia="zh-CN" w:bidi="ar"/>
              </w:rPr>
              <w:t>容器上应标注食用时限和食用方法</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kern w:val="0"/>
                <w:sz w:val="21"/>
                <w:szCs w:val="21"/>
                <w:u w:val="none"/>
                <w:lang w:val="en-US" w:eastAsia="zh-CN" w:bidi="ar"/>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kern w:val="0"/>
                <w:sz w:val="21"/>
                <w:szCs w:val="21"/>
                <w:u w:val="none"/>
                <w:lang w:val="en-US" w:eastAsia="zh-CN" w:bidi="ar"/>
              </w:rPr>
            </w:pPr>
            <w:r>
              <w:rPr>
                <w:rFonts w:hint="eastAsia" w:ascii="仿宋" w:hAnsi="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247"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 w:hAnsi="仿宋" w:eastAsia="仿宋" w:cs="仿宋"/>
                <w:i w:val="0"/>
                <w:color w:val="000000"/>
                <w:sz w:val="21"/>
                <w:szCs w:val="21"/>
                <w:u w:val="none"/>
                <w:lang w:val="en-US"/>
              </w:rPr>
            </w:pPr>
            <w:r>
              <w:rPr>
                <w:rFonts w:hint="eastAsia" w:ascii="仿宋" w:hAnsi="仿宋" w:eastAsia="仿宋" w:cs="仿宋"/>
                <w:i w:val="0"/>
                <w:color w:val="000000"/>
                <w:kern w:val="0"/>
                <w:sz w:val="21"/>
                <w:szCs w:val="21"/>
                <w:u w:val="none"/>
                <w:lang w:val="en-US" w:eastAsia="zh-CN" w:bidi="ar"/>
              </w:rPr>
              <w:t>270</w:t>
            </w:r>
            <w:r>
              <w:rPr>
                <w:rFonts w:hint="eastAsia" w:ascii="仿宋" w:hAnsi="仿宋" w:cs="仿宋"/>
                <w:i w:val="0"/>
                <w:color w:val="000000"/>
                <w:kern w:val="0"/>
                <w:sz w:val="21"/>
                <w:szCs w:val="21"/>
                <w:u w:val="none"/>
                <w:lang w:val="en-US" w:eastAsia="zh-CN" w:bidi="ar"/>
              </w:rPr>
              <w:t>5</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食品的配送温度和湿度符合食品安全要求。高危易腐食品采取低温保存措施</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247" w:hRule="atLeast"/>
        </w:trPr>
        <w:tc>
          <w:tcPr>
            <w:tcW w:w="640" w:type="dxa"/>
            <w:vMerge w:val="continue"/>
            <w:tcBorders>
              <w:top w:val="single" w:color="000000" w:sz="4" w:space="0"/>
              <w:left w:val="single" w:color="000000" w:sz="8"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 w:hAnsi="仿宋" w:eastAsia="仿宋" w:cs="仿宋"/>
                <w:i w:val="0"/>
                <w:color w:val="000000"/>
                <w:sz w:val="24"/>
                <w:szCs w:val="24"/>
                <w:u w:val="none"/>
              </w:rPr>
            </w:pPr>
          </w:p>
        </w:tc>
        <w:tc>
          <w:tcPr>
            <w:tcW w:w="380" w:type="dxa"/>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28</w:t>
            </w:r>
          </w:p>
        </w:tc>
        <w:tc>
          <w:tcPr>
            <w:tcW w:w="590" w:type="dxa"/>
            <w:tcBorders>
              <w:top w:val="single" w:color="000000" w:sz="4" w:space="0"/>
              <w:left w:val="single" w:color="000000" w:sz="4"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人员</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管理</w:t>
            </w:r>
          </w:p>
        </w:tc>
        <w:tc>
          <w:tcPr>
            <w:tcW w:w="55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2801</w:t>
            </w:r>
          </w:p>
        </w:tc>
        <w:tc>
          <w:tcPr>
            <w:tcW w:w="438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送餐人员个人卫生良好</w:t>
            </w:r>
          </w:p>
        </w:tc>
        <w:tc>
          <w:tcPr>
            <w:tcW w:w="115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8"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8"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30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164" w:hRule="atLeast"/>
        </w:trPr>
        <w:tc>
          <w:tcPr>
            <w:tcW w:w="640" w:type="dxa"/>
            <w:tcBorders>
              <w:top w:val="single" w:color="000000" w:sz="8"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重点检查点位</w:t>
            </w:r>
          </w:p>
        </w:tc>
        <w:tc>
          <w:tcPr>
            <w:tcW w:w="38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项目序号</w:t>
            </w:r>
          </w:p>
        </w:tc>
        <w:tc>
          <w:tcPr>
            <w:tcW w:w="59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项目</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类别</w:t>
            </w:r>
          </w:p>
        </w:tc>
        <w:tc>
          <w:tcPr>
            <w:tcW w:w="55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具体项目</w:t>
            </w:r>
          </w:p>
        </w:tc>
        <w:tc>
          <w:tcPr>
            <w:tcW w:w="438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检查内容</w:t>
            </w:r>
          </w:p>
        </w:tc>
        <w:tc>
          <w:tcPr>
            <w:tcW w:w="115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检查结果</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分值</w:t>
            </w:r>
          </w:p>
        </w:tc>
        <w:tc>
          <w:tcPr>
            <w:tcW w:w="400" w:type="dxa"/>
            <w:tcBorders>
              <w:top w:val="single" w:color="000000" w:sz="8"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得分</w:t>
            </w:r>
          </w:p>
        </w:tc>
        <w:tc>
          <w:tcPr>
            <w:tcW w:w="400" w:type="dxa"/>
            <w:tcBorders>
              <w:top w:val="single" w:color="000000" w:sz="8" w:space="0"/>
              <w:left w:val="single" w:color="000000" w:sz="4" w:space="0"/>
              <w:bottom w:val="single" w:color="000000" w:sz="4" w:space="0"/>
              <w:right w:val="single" w:color="000000" w:sz="8"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扣分</w:t>
            </w:r>
          </w:p>
        </w:tc>
      </w:tr>
      <w:tr>
        <w:tblPrEx>
          <w:tblLayout w:type="fixed"/>
          <w:tblCellMar>
            <w:top w:w="0" w:type="dxa"/>
            <w:left w:w="0" w:type="dxa"/>
            <w:bottom w:w="0" w:type="dxa"/>
            <w:right w:w="0" w:type="dxa"/>
          </w:tblCellMar>
        </w:tblPrEx>
        <w:trPr>
          <w:trHeight w:val="822" w:hRule="atLeast"/>
        </w:trPr>
        <w:tc>
          <w:tcPr>
            <w:tcW w:w="640" w:type="dxa"/>
            <w:vMerge w:val="restart"/>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文件保存区</w:t>
            </w: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29</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食品</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安全</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相关</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制度及记录</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2901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★有食品安全管理制度（包含人员健康管理、食品安全自查、进货查验、加工操作规程、供货者评价和退出、食品召回等内容）</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34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2902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★有食品安全事故处置方案</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822"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2903</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★应制定检验检测计划，定期对大宗食品原料、加工制作环境等自行或委托具有资质的第三方机构进行检验检测。有检验检测报告或记录。</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34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2904</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有食品安全追溯体系</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34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2905</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有设施设备清洗维护校验记录</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34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2906</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有食品安全自查记录（每周一次）</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340"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2907</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有餐厨废弃物处置记录</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822"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30</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采购</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相关</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文件</w:t>
            </w:r>
            <w:r>
              <w:rPr>
                <w:rFonts w:hint="eastAsia" w:ascii="仿宋" w:hAnsi="仿宋" w:cs="仿宋"/>
                <w:i w:val="0"/>
                <w:color w:val="000000"/>
                <w:kern w:val="0"/>
                <w:sz w:val="24"/>
                <w:szCs w:val="24"/>
                <w:u w:val="none"/>
                <w:lang w:val="en-US" w:eastAsia="zh-CN" w:bidi="ar"/>
              </w:rPr>
              <w:t>及</w:t>
            </w:r>
            <w:r>
              <w:rPr>
                <w:rFonts w:hint="eastAsia" w:ascii="仿宋" w:hAnsi="仿宋" w:eastAsia="仿宋" w:cs="仿宋"/>
                <w:i w:val="0"/>
                <w:color w:val="000000"/>
                <w:kern w:val="0"/>
                <w:sz w:val="24"/>
                <w:szCs w:val="24"/>
                <w:u w:val="none"/>
                <w:lang w:val="en-US" w:eastAsia="zh-CN" w:bidi="ar"/>
              </w:rPr>
              <w:t>记录</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★具有食品、食品添加剂、食品相关产品的随货证明文件、每笔进货凭证。具有完整的进货查验记录</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822"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采购畜禽肉类的，还应具有动物产品检疫合格证明；采购猪肉的，还应具有肉品品质检验合格证明</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95"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3003</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采购、使用集中消毒餐饮具的，有集中消毒餐饮具企业的营业执照和产品的消毒合格证明</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r>
              <w:rPr>
                <w:rFonts w:hint="eastAsia" w:ascii="仿宋" w:hAnsi="仿宋" w:eastAsia="仿宋" w:cs="仿宋"/>
                <w:i w:val="0"/>
                <w:color w:val="000000"/>
                <w:kern w:val="0"/>
                <w:sz w:val="21"/>
                <w:szCs w:val="21"/>
                <w:u w:val="none"/>
                <w:lang w:val="en-US" w:eastAsia="zh-CN" w:bidi="ar"/>
              </w:rPr>
              <w:br w:type="textWrapping"/>
            </w:r>
            <w:r>
              <w:rPr>
                <w:rFonts w:hint="eastAsia" w:ascii="仿宋" w:hAnsi="仿宋" w:eastAsia="仿宋" w:cs="仿宋"/>
                <w:i w:val="0"/>
                <w:color w:val="000000"/>
                <w:kern w:val="0"/>
                <w:sz w:val="21"/>
                <w:szCs w:val="21"/>
                <w:u w:val="none"/>
                <w:lang w:val="en-US" w:eastAsia="zh-CN" w:bidi="ar"/>
              </w:rPr>
              <w:t>合理缺项□</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95"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仿宋" w:hAnsi="仿宋" w:eastAsia="仿宋" w:cs="仿宋"/>
                <w:i w:val="0"/>
                <w:color w:val="000000"/>
                <w:sz w:val="24"/>
                <w:szCs w:val="24"/>
                <w:u w:val="none"/>
              </w:rPr>
            </w:pPr>
          </w:p>
        </w:tc>
        <w:tc>
          <w:tcPr>
            <w:tcW w:w="38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31</w:t>
            </w:r>
          </w:p>
        </w:tc>
        <w:tc>
          <w:tcPr>
            <w:tcW w:w="59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人员</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管理</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相关</w:t>
            </w:r>
            <w:r>
              <w:rPr>
                <w:rFonts w:hint="eastAsia" w:ascii="仿宋" w:hAnsi="仿宋" w:eastAsia="仿宋" w:cs="仿宋"/>
                <w:i w:val="0"/>
                <w:color w:val="000000"/>
                <w:kern w:val="0"/>
                <w:sz w:val="24"/>
                <w:szCs w:val="24"/>
                <w:u w:val="none"/>
                <w:lang w:val="en-US" w:eastAsia="zh-CN" w:bidi="ar"/>
              </w:rPr>
              <w:br w:type="textWrapping"/>
            </w:r>
            <w:r>
              <w:rPr>
                <w:rFonts w:hint="eastAsia" w:ascii="仿宋" w:hAnsi="仿宋" w:eastAsia="仿宋" w:cs="仿宋"/>
                <w:i w:val="0"/>
                <w:color w:val="000000"/>
                <w:kern w:val="0"/>
                <w:sz w:val="24"/>
                <w:szCs w:val="24"/>
                <w:u w:val="none"/>
                <w:lang w:val="en-US" w:eastAsia="zh-CN" w:bidi="ar"/>
              </w:rPr>
              <w:t>文件及记录</w:t>
            </w: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3101</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★明确主要负责人食品安全责任，有食品安全管理机构和专职管理人员</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95"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8"/>
                <w:szCs w:val="28"/>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3102</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★掌握从业人员资质，不得聘用法律法规禁止聘用的人员从事食品安全管理</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595"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8"/>
                <w:szCs w:val="28"/>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3103</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★从事接触直接入口食品工作的从业人员持有有效的健康证明</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822"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8"/>
                <w:szCs w:val="28"/>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3104</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★有从业人员每日健康检查（晨检）记录，不得安排患有有碍食品安全疾病的人员从事接触直接入口食品</w:t>
            </w:r>
            <w:r>
              <w:rPr>
                <w:rFonts w:hint="eastAsia" w:ascii="仿宋" w:hAnsi="仿宋" w:cs="仿宋"/>
                <w:i w:val="0"/>
                <w:color w:val="000000"/>
                <w:kern w:val="0"/>
                <w:sz w:val="21"/>
                <w:szCs w:val="21"/>
                <w:u w:val="none"/>
                <w:lang w:val="en-US" w:eastAsia="zh-CN" w:bidi="ar"/>
              </w:rPr>
              <w:t>的</w:t>
            </w:r>
            <w:r>
              <w:rPr>
                <w:rFonts w:hint="eastAsia" w:ascii="仿宋" w:hAnsi="仿宋" w:eastAsia="仿宋" w:cs="仿宋"/>
                <w:i w:val="0"/>
                <w:color w:val="000000"/>
                <w:kern w:val="0"/>
                <w:sz w:val="21"/>
                <w:szCs w:val="21"/>
                <w:u w:val="none"/>
                <w:lang w:val="en-US" w:eastAsia="zh-CN" w:bidi="ar"/>
              </w:rPr>
              <w:t>工作</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2</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624" w:hRule="atLeast"/>
        </w:trPr>
        <w:tc>
          <w:tcPr>
            <w:tcW w:w="640" w:type="dxa"/>
            <w:vMerge w:val="continue"/>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8"/>
                <w:szCs w:val="28"/>
                <w:u w:val="none"/>
              </w:rPr>
            </w:pPr>
          </w:p>
        </w:tc>
        <w:tc>
          <w:tcPr>
            <w:tcW w:w="3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4"/>
                <w:szCs w:val="24"/>
                <w:u w:val="none"/>
              </w:rPr>
            </w:pPr>
          </w:p>
        </w:tc>
        <w:tc>
          <w:tcPr>
            <w:tcW w:w="59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4"/>
                <w:szCs w:val="24"/>
                <w:u w:val="none"/>
              </w:rPr>
            </w:pPr>
          </w:p>
        </w:tc>
        <w:tc>
          <w:tcPr>
            <w:tcW w:w="5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3105</w:t>
            </w:r>
          </w:p>
        </w:tc>
        <w:tc>
          <w:tcPr>
            <w:tcW w:w="438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有从业人员食品安全培训考核记录（每半年一次）</w:t>
            </w: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是□  否□</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w:t>
            </w:r>
          </w:p>
        </w:tc>
        <w:tc>
          <w:tcPr>
            <w:tcW w:w="400" w:type="dxa"/>
            <w:tcBorders>
              <w:top w:val="single" w:color="000000" w:sz="4" w:space="0"/>
              <w:left w:val="single" w:color="000000" w:sz="4" w:space="0"/>
              <w:bottom w:val="single" w:color="000000" w:sz="4" w:space="0"/>
              <w:right w:val="single" w:color="000000" w:sz="4"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c>
          <w:tcPr>
            <w:tcW w:w="400" w:type="dxa"/>
            <w:tcBorders>
              <w:top w:val="single" w:color="000000" w:sz="4" w:space="0"/>
              <w:left w:val="single" w:color="000000" w:sz="4" w:space="0"/>
              <w:bottom w:val="single" w:color="000000" w:sz="4" w:space="0"/>
              <w:right w:val="single" w:color="000000" w:sz="8" w:space="0"/>
            </w:tcBorders>
            <w:shd w:val="clear" w:color="auto" w:fill="auto"/>
            <w:tcMar>
              <w:top w:w="11" w:type="dxa"/>
              <w:left w:w="28" w:type="dxa"/>
              <w:right w:w="28"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仿宋" w:hAnsi="仿宋" w:eastAsia="仿宋" w:cs="仿宋"/>
                <w:i w:val="0"/>
                <w:color w:val="000000"/>
                <w:sz w:val="21"/>
                <w:szCs w:val="21"/>
                <w:u w:val="none"/>
              </w:rPr>
            </w:pPr>
          </w:p>
        </w:tc>
      </w:tr>
      <w:tr>
        <w:tblPrEx>
          <w:tblLayout w:type="fixed"/>
          <w:tblCellMar>
            <w:top w:w="0" w:type="dxa"/>
            <w:left w:w="0" w:type="dxa"/>
            <w:bottom w:w="0" w:type="dxa"/>
            <w:right w:w="0" w:type="dxa"/>
          </w:tblCellMar>
        </w:tblPrEx>
        <w:trPr>
          <w:trHeight w:val="1134" w:hRule="atLeast"/>
        </w:trPr>
        <w:tc>
          <w:tcPr>
            <w:tcW w:w="640" w:type="dxa"/>
            <w:tcBorders>
              <w:top w:val="single" w:color="000000" w:sz="4" w:space="0"/>
              <w:left w:val="single" w:color="000000" w:sz="8"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合计</w:t>
            </w:r>
          </w:p>
        </w:tc>
        <w:tc>
          <w:tcPr>
            <w:tcW w:w="8250" w:type="dxa"/>
            <w:gridSpan w:val="8"/>
            <w:tcBorders>
              <w:top w:val="single" w:color="000000" w:sz="4" w:space="0"/>
              <w:left w:val="single" w:color="000000" w:sz="4" w:space="0"/>
              <w:bottom w:val="single" w:color="000000" w:sz="4" w:space="0"/>
              <w:right w:val="single" w:color="000000" w:sz="8" w:space="0"/>
            </w:tcBorders>
            <w:shd w:val="clear" w:color="auto" w:fill="auto"/>
            <w:tcMar>
              <w:top w:w="11" w:type="dxa"/>
              <w:left w:w="113" w:type="dxa"/>
              <w:right w:w="113"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本次实际检查具体项目</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项，其中合格项目</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项，不合格项目</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项，带★重点项目不合格</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项（是否不予评定动态等级：是□ 否□）。实际检查具体项目总分</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分，得分</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分，扣分</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分。折合动态等级分数</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分，动态等级为</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（优秀□  良好□  一般□）。折合动态风险因素量化分值</w:t>
            </w:r>
            <w:r>
              <w:rPr>
                <w:rFonts w:hint="eastAsia" w:ascii="宋体" w:hAnsi="宋体" w:eastAsia="宋体" w:cs="宋体"/>
                <w:i w:val="0"/>
                <w:color w:val="000000"/>
                <w:kern w:val="0"/>
                <w:sz w:val="21"/>
                <w:szCs w:val="21"/>
                <w:u w:val="single"/>
                <w:lang w:val="en-US" w:eastAsia="zh-CN" w:bidi="ar"/>
              </w:rPr>
              <w:t xml:space="preserve">    </w:t>
            </w:r>
            <w:r>
              <w:rPr>
                <w:rFonts w:hint="eastAsia" w:ascii="宋体" w:hAnsi="宋体" w:eastAsia="宋体" w:cs="宋体"/>
                <w:i w:val="0"/>
                <w:color w:val="000000"/>
                <w:kern w:val="0"/>
                <w:sz w:val="21"/>
                <w:szCs w:val="21"/>
                <w:u w:val="none"/>
                <w:lang w:val="en-US" w:eastAsia="zh-CN" w:bidi="ar"/>
              </w:rPr>
              <w:t>分。</w:t>
            </w:r>
          </w:p>
        </w:tc>
      </w:tr>
      <w:tr>
        <w:tblPrEx>
          <w:tblLayout w:type="fixed"/>
          <w:tblCellMar>
            <w:top w:w="0" w:type="dxa"/>
            <w:left w:w="0" w:type="dxa"/>
            <w:bottom w:w="0" w:type="dxa"/>
            <w:right w:w="0" w:type="dxa"/>
          </w:tblCellMar>
        </w:tblPrEx>
        <w:trPr>
          <w:trHeight w:val="1134" w:hRule="atLeast"/>
        </w:trPr>
        <w:tc>
          <w:tcPr>
            <w:tcW w:w="640" w:type="dxa"/>
            <w:tcBorders>
              <w:top w:val="single" w:color="000000" w:sz="4" w:space="0"/>
              <w:left w:val="single" w:color="000000" w:sz="8" w:space="0"/>
              <w:bottom w:val="single" w:color="000000" w:sz="8"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备注</w:t>
            </w:r>
          </w:p>
        </w:tc>
        <w:tc>
          <w:tcPr>
            <w:tcW w:w="8250" w:type="dxa"/>
            <w:gridSpan w:val="8"/>
            <w:tcBorders>
              <w:top w:val="single" w:color="000000" w:sz="4" w:space="0"/>
              <w:left w:val="single" w:color="000000" w:sz="4" w:space="0"/>
              <w:bottom w:val="single" w:color="000000" w:sz="8" w:space="0"/>
              <w:right w:val="single" w:color="000000" w:sz="8" w:space="0"/>
            </w:tcBorders>
            <w:shd w:val="clear" w:color="auto" w:fill="auto"/>
            <w:tcMar>
              <w:top w:w="11" w:type="dxa"/>
              <w:left w:w="113" w:type="dxa"/>
              <w:right w:w="113" w:type="dxa"/>
            </w:tcMar>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1.被检查单位无相关情况的，应选合理缺项。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2.带★重点项目有5项（含）以上不合格的，日常监督检查视为不符合，不予评定动态</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ind w:firstLine="213" w:firstLineChars="10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等级，应要求整改。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3.动态等级分数=（实际检查具体项目得分/实际检查具体项目总分）×10。（保留一</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ind w:firstLine="213" w:firstLineChars="10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位小数）</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4.动态风险因素量化分值=（实际检查具体项目扣分/实际检查具体项目总分）×60。</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（保留整数）</w:t>
            </w:r>
          </w:p>
        </w:tc>
      </w:tr>
    </w:tbl>
    <w:tbl>
      <w:tblPr>
        <w:tblStyle w:val="6"/>
        <w:tblW w:w="89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397"/>
        <w:gridCol w:w="454"/>
        <w:gridCol w:w="272"/>
        <w:gridCol w:w="454"/>
        <w:gridCol w:w="267"/>
        <w:gridCol w:w="267"/>
        <w:gridCol w:w="277"/>
        <w:gridCol w:w="272"/>
        <w:gridCol w:w="272"/>
        <w:gridCol w:w="272"/>
        <w:gridCol w:w="272"/>
        <w:gridCol w:w="272"/>
        <w:gridCol w:w="272"/>
        <w:gridCol w:w="272"/>
        <w:gridCol w:w="272"/>
        <w:gridCol w:w="272"/>
        <w:gridCol w:w="272"/>
        <w:gridCol w:w="272"/>
        <w:gridCol w:w="272"/>
        <w:gridCol w:w="272"/>
        <w:gridCol w:w="272"/>
        <w:gridCol w:w="272"/>
        <w:gridCol w:w="272"/>
        <w:gridCol w:w="378"/>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567" w:type="dxa"/>
            <w:vMerge w:val="restart"/>
            <w:tcBorders>
              <w:top w:val="nil"/>
              <w:left w:val="nil"/>
              <w:righ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52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方正小标宋简体" w:hAnsi="方正小标宋简体" w:eastAsia="方正小标宋简体" w:cs="方正小标宋简体"/>
                <w:sz w:val="44"/>
                <w:szCs w:val="44"/>
              </w:rPr>
              <w:t>餐饮服务提供者静态风险因素量化分值表</w:t>
            </w:r>
          </w:p>
        </w:tc>
        <w:tc>
          <w:tcPr>
            <w:tcW w:w="397" w:type="dxa"/>
            <w:tcBorders>
              <w:top w:val="single" w:color="auto" w:sz="8" w:space="0"/>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6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r>
              <w:rPr>
                <w:rFonts w:hint="eastAsia" w:ascii="仿宋" w:hAnsi="仿宋" w:cs="仿宋"/>
                <w:i w:val="0"/>
                <w:color w:val="000000"/>
                <w:kern w:val="0"/>
                <w:sz w:val="28"/>
                <w:szCs w:val="28"/>
                <w:u w:val="none"/>
                <w:vertAlign w:val="baseline"/>
                <w:lang w:val="en-US" w:eastAsia="zh-CN" w:bidi="ar"/>
              </w:rPr>
              <w:t>得分</w:t>
            </w:r>
          </w:p>
        </w:tc>
        <w:tc>
          <w:tcPr>
            <w:tcW w:w="1447" w:type="dxa"/>
            <w:gridSpan w:val="4"/>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44"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44"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44"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44"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44"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44"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44"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44"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544" w:type="dxa"/>
            <w:gridSpan w:val="2"/>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378" w:type="dxa"/>
            <w:vMerge w:val="restart"/>
            <w:tcBorders>
              <w:top w:val="single" w:color="auto" w:sz="8"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304" w:type="dxa"/>
            <w:vMerge w:val="restart"/>
            <w:tcBorders>
              <w:top w:val="single" w:color="auto" w:sz="8" w:space="0"/>
              <w:bottom w:val="single" w:color="auto" w:sz="4" w:space="0"/>
              <w:right w:val="single" w:color="auto" w:sz="8" w:space="0"/>
            </w:tcBorders>
            <w:tcMar>
              <w:top w:w="57" w:type="dxa"/>
              <w:left w:w="57" w:type="dxa"/>
              <w:bottom w:w="57" w:type="dxa"/>
              <w:right w:w="57" w:type="dxa"/>
            </w:tcMar>
            <w:textDirection w:val="btLr"/>
            <w:vAlign w:val="top"/>
          </w:tcPr>
          <w:p>
            <w:pPr>
              <w:keepNext w:val="0"/>
              <w:keepLines w:val="0"/>
              <w:pageBreakBefore w:val="0"/>
              <w:widowControl w:val="0"/>
              <w:kinsoku/>
              <w:wordWrap/>
              <w:overflowPunct/>
              <w:topLinePunct w:val="0"/>
              <w:autoSpaceDE/>
              <w:autoSpaceDN/>
              <w:bidi w:val="0"/>
              <w:adjustRightInd/>
              <w:snapToGrid/>
              <w:spacing w:line="200" w:lineRule="exact"/>
              <w:ind w:left="113" w:right="113"/>
              <w:jc w:val="left"/>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备注：1.各项评分总和为40分。因实际情况存在缺项情形的，该项评分为“0”。</w:t>
            </w:r>
          </w:p>
          <w:p>
            <w:pPr>
              <w:keepNext w:val="0"/>
              <w:keepLines w:val="0"/>
              <w:pageBreakBefore w:val="0"/>
              <w:widowControl w:val="0"/>
              <w:kinsoku/>
              <w:wordWrap/>
              <w:overflowPunct/>
              <w:topLinePunct w:val="0"/>
              <w:autoSpaceDE/>
              <w:autoSpaceDN/>
              <w:bidi w:val="0"/>
              <w:adjustRightInd/>
              <w:snapToGrid/>
              <w:spacing w:line="200" w:lineRule="exact"/>
              <w:ind w:left="113" w:right="113" w:firstLine="639" w:firstLineChars="300"/>
              <w:jc w:val="left"/>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2.数量单位为个。</w:t>
            </w:r>
          </w:p>
          <w:p>
            <w:pPr>
              <w:keepNext w:val="0"/>
              <w:keepLines w:val="0"/>
              <w:pageBreakBefore w:val="0"/>
              <w:widowControl w:val="0"/>
              <w:kinsoku/>
              <w:wordWrap/>
              <w:overflowPunct/>
              <w:topLinePunct w:val="0"/>
              <w:autoSpaceDE/>
              <w:autoSpaceDN/>
              <w:bidi w:val="0"/>
              <w:adjustRightInd/>
              <w:snapToGrid/>
              <w:spacing w:line="200" w:lineRule="exact"/>
              <w:ind w:left="113" w:right="113" w:firstLine="639" w:firstLineChars="300"/>
              <w:jc w:val="left"/>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3.单品数是指餐饮服务提供者的最新菜单中所展示的独立销售的食品品种数，不含制作过程中各类食品原料和半成品数量。</w:t>
            </w:r>
          </w:p>
          <w:p>
            <w:pPr>
              <w:keepNext w:val="0"/>
              <w:keepLines w:val="0"/>
              <w:pageBreakBefore w:val="0"/>
              <w:widowControl w:val="0"/>
              <w:kinsoku/>
              <w:wordWrap/>
              <w:overflowPunct/>
              <w:topLinePunct w:val="0"/>
              <w:autoSpaceDE/>
              <w:autoSpaceDN/>
              <w:bidi w:val="0"/>
              <w:adjustRightInd/>
              <w:snapToGrid/>
              <w:spacing w:line="200" w:lineRule="exact"/>
              <w:ind w:left="113" w:right="113" w:firstLine="639" w:firstLineChars="300"/>
              <w:jc w:val="left"/>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4.具有热食、冷食、生食等多种情形,难以明确归类的食品，可按食品安全风险等级最高的情形进行归类。</w:t>
            </w:r>
          </w:p>
          <w:p>
            <w:pPr>
              <w:keepNext w:val="0"/>
              <w:keepLines w:val="0"/>
              <w:pageBreakBefore w:val="0"/>
              <w:widowControl w:val="0"/>
              <w:kinsoku/>
              <w:wordWrap/>
              <w:overflowPunct/>
              <w:topLinePunct w:val="0"/>
              <w:autoSpaceDE/>
              <w:autoSpaceDN/>
              <w:bidi w:val="0"/>
              <w:adjustRightInd/>
              <w:snapToGrid/>
              <w:spacing w:line="200" w:lineRule="exact"/>
              <w:ind w:left="113" w:right="113" w:firstLine="639" w:firstLineChars="300"/>
              <w:jc w:val="left"/>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5.易腐原料是指蛋白质或碳水化合物含量较高，通常pH大于4.6且水分活度大于0.85，需要控制温度和时间以防止腐败变质和细菌生长、繁殖、产毒的食品。如乳、蛋、禽、畜、水产品等动物源性食品（含）及豆制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1" w:hRule="atLeast"/>
          <w:jc w:val="center"/>
        </w:trPr>
        <w:tc>
          <w:tcPr>
            <w:tcW w:w="567"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397" w:type="dxa"/>
            <w:vMerge w:val="restart"/>
            <w:tcBorders>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6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r>
              <w:rPr>
                <w:rFonts w:hint="eastAsia" w:ascii="仿宋" w:hAnsi="仿宋" w:eastAsia="仿宋" w:cs="仿宋"/>
                <w:sz w:val="28"/>
                <w:szCs w:val="28"/>
              </w:rPr>
              <w:t>参考分值</w:t>
            </w:r>
          </w:p>
        </w:tc>
        <w:tc>
          <w:tcPr>
            <w:tcW w:w="454" w:type="dxa"/>
            <w:vMerge w:val="restart"/>
            <w:tcBorders>
              <w:top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供餐人数</w:t>
            </w:r>
          </w:p>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cs="仿宋"/>
                <w:sz w:val="21"/>
                <w:szCs w:val="21"/>
                <w:lang w:val="en-US" w:eastAsia="zh-CN"/>
              </w:rPr>
              <w:t>3</w:t>
            </w:r>
            <w:r>
              <w:rPr>
                <w:rFonts w:hint="eastAsia" w:ascii="仿宋" w:hAnsi="仿宋" w:eastAsia="仿宋" w:cs="仿宋"/>
                <w:sz w:val="21"/>
                <w:szCs w:val="21"/>
                <w:lang w:val="en-US" w:eastAsia="zh-CN"/>
              </w:rPr>
              <w:t>01人及以上</w:t>
            </w:r>
          </w:p>
        </w:tc>
        <w:tc>
          <w:tcPr>
            <w:tcW w:w="272" w:type="dxa"/>
            <w:vMerge w:val="restart"/>
            <w:tcBorders>
              <w:top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10分</w:t>
            </w:r>
          </w:p>
        </w:tc>
        <w:tc>
          <w:tcPr>
            <w:tcW w:w="454" w:type="dxa"/>
            <w:vMerge w:val="restart"/>
            <w:tcBorders>
              <w:top w:val="single" w:color="auto" w:sz="4" w:space="0"/>
            </w:tcBorders>
            <w:shd w:val="clear" w:color="auto" w:fill="auto"/>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default" w:ascii="仿宋" w:hAnsi="仿宋" w:eastAsia="仿宋" w:cs="仿宋"/>
                <w:i w:val="0"/>
                <w:color w:val="000000"/>
                <w:kern w:val="0"/>
                <w:sz w:val="21"/>
                <w:szCs w:val="21"/>
                <w:u w:val="none"/>
                <w:vertAlign w:val="baseline"/>
                <w:lang w:val="en-US" w:eastAsia="zh-CN" w:bidi="ar"/>
              </w:rPr>
              <w:t>配送门店</w:t>
            </w:r>
          </w:p>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default" w:ascii="仿宋" w:hAnsi="仿宋" w:eastAsia="仿宋" w:cs="仿宋"/>
                <w:i w:val="0"/>
                <w:color w:val="000000"/>
                <w:kern w:val="0"/>
                <w:sz w:val="21"/>
                <w:szCs w:val="21"/>
                <w:u w:val="none"/>
                <w:vertAlign w:val="baseline"/>
                <w:lang w:val="en-US" w:eastAsia="zh-CN" w:bidi="ar"/>
              </w:rPr>
              <w:t>21家及以上</w:t>
            </w:r>
          </w:p>
        </w:tc>
        <w:tc>
          <w:tcPr>
            <w:tcW w:w="267" w:type="dxa"/>
            <w:vMerge w:val="restart"/>
            <w:tcBorders>
              <w:top w:val="single" w:color="auto" w:sz="4" w:space="0"/>
            </w:tcBorders>
            <w:shd w:val="clear" w:color="auto" w:fill="auto"/>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10分</w:t>
            </w:r>
          </w:p>
        </w:tc>
        <w:tc>
          <w:tcPr>
            <w:tcW w:w="267"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41及以上</w:t>
            </w:r>
          </w:p>
        </w:tc>
        <w:tc>
          <w:tcPr>
            <w:tcW w:w="277"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21及以上</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21及以上</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8分</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41及以上</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21及以上</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201及以上</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81及以上</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21及以上</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21及以上</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378"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304"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4" w:hRule="atLeast"/>
          <w:jc w:val="center"/>
        </w:trPr>
        <w:tc>
          <w:tcPr>
            <w:tcW w:w="567"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397" w:type="dxa"/>
            <w:vMerge w:val="continue"/>
            <w:tcBorders>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6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p>
        </w:tc>
        <w:tc>
          <w:tcPr>
            <w:tcW w:w="454" w:type="dxa"/>
            <w:vMerge w:val="continue"/>
            <w:tcBorders>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sz w:val="21"/>
                <w:szCs w:val="21"/>
                <w:lang w:val="en-US" w:eastAsia="zh-CN"/>
              </w:rPr>
            </w:pPr>
          </w:p>
        </w:tc>
        <w:tc>
          <w:tcPr>
            <w:tcW w:w="272" w:type="dxa"/>
            <w:vMerge w:val="continue"/>
            <w:tcBorders>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p>
        </w:tc>
        <w:tc>
          <w:tcPr>
            <w:tcW w:w="454" w:type="dxa"/>
            <w:vMerge w:val="continue"/>
            <w:tcBorders>
              <w:bottom w:val="single" w:color="auto" w:sz="4" w:space="0"/>
            </w:tcBorders>
            <w:shd w:val="clear" w:color="auto" w:fill="auto"/>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p>
        </w:tc>
        <w:tc>
          <w:tcPr>
            <w:tcW w:w="267" w:type="dxa"/>
            <w:vMerge w:val="continue"/>
            <w:tcBorders>
              <w:bottom w:val="single" w:color="auto" w:sz="4" w:space="0"/>
            </w:tcBorders>
            <w:shd w:val="clear" w:color="auto" w:fill="auto"/>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p>
        </w:tc>
        <w:tc>
          <w:tcPr>
            <w:tcW w:w="267"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21～40</w:t>
            </w:r>
          </w:p>
        </w:tc>
        <w:tc>
          <w:tcPr>
            <w:tcW w:w="277"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3分</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16～20</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3分</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11～20</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6分</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21～40</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1.5分</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11～20</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3分</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101～200</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1.5分</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51～80</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1.5分</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11～20</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1.5分</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11～20</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1.5分</w:t>
            </w:r>
          </w:p>
        </w:tc>
        <w:tc>
          <w:tcPr>
            <w:tcW w:w="378"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304"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4" w:hRule="atLeast"/>
          <w:jc w:val="center"/>
        </w:trPr>
        <w:tc>
          <w:tcPr>
            <w:tcW w:w="567"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397" w:type="dxa"/>
            <w:vMerge w:val="continue"/>
            <w:tcBorders>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6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p>
        </w:tc>
        <w:tc>
          <w:tcPr>
            <w:tcW w:w="454"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供餐人数</w:t>
            </w:r>
          </w:p>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cs="仿宋"/>
                <w:sz w:val="21"/>
                <w:szCs w:val="21"/>
                <w:lang w:val="en-US" w:eastAsia="zh-CN"/>
              </w:rPr>
              <w:t>1</w:t>
            </w:r>
            <w:r>
              <w:rPr>
                <w:rFonts w:hint="eastAsia" w:ascii="仿宋" w:hAnsi="仿宋" w:eastAsia="仿宋" w:cs="仿宋"/>
                <w:sz w:val="21"/>
                <w:szCs w:val="21"/>
                <w:lang w:val="en-US" w:eastAsia="zh-CN"/>
              </w:rPr>
              <w:t>01人～</w:t>
            </w:r>
            <w:r>
              <w:rPr>
                <w:rFonts w:hint="eastAsia" w:ascii="仿宋" w:hAnsi="仿宋" w:cs="仿宋"/>
                <w:sz w:val="21"/>
                <w:szCs w:val="21"/>
                <w:lang w:val="en-US" w:eastAsia="zh-CN"/>
              </w:rPr>
              <w:t>3</w:t>
            </w:r>
            <w:r>
              <w:rPr>
                <w:rFonts w:hint="eastAsia" w:ascii="仿宋" w:hAnsi="仿宋" w:eastAsia="仿宋" w:cs="仿宋"/>
                <w:sz w:val="21"/>
                <w:szCs w:val="21"/>
                <w:lang w:val="en-US" w:eastAsia="zh-CN"/>
              </w:rPr>
              <w:t>00人</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7分</w:t>
            </w:r>
          </w:p>
        </w:tc>
        <w:tc>
          <w:tcPr>
            <w:tcW w:w="454" w:type="dxa"/>
            <w:tcBorders>
              <w:top w:val="single" w:color="auto" w:sz="4" w:space="0"/>
              <w:bottom w:val="single" w:color="auto" w:sz="4" w:space="0"/>
            </w:tcBorders>
            <w:shd w:val="clear" w:color="auto" w:fill="auto"/>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配送门店</w:t>
            </w:r>
          </w:p>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11家～20家</w:t>
            </w:r>
          </w:p>
        </w:tc>
        <w:tc>
          <w:tcPr>
            <w:tcW w:w="267" w:type="dxa"/>
            <w:tcBorders>
              <w:top w:val="single" w:color="auto" w:sz="4" w:space="0"/>
              <w:bottom w:val="single" w:color="auto" w:sz="4" w:space="0"/>
            </w:tcBorders>
            <w:shd w:val="clear" w:color="auto" w:fill="auto"/>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7分</w:t>
            </w:r>
          </w:p>
        </w:tc>
        <w:tc>
          <w:tcPr>
            <w:tcW w:w="267"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11～20</w:t>
            </w:r>
          </w:p>
        </w:tc>
        <w:tc>
          <w:tcPr>
            <w:tcW w:w="277"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2.5分</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11～15</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2.5分</w:t>
            </w:r>
          </w:p>
        </w:tc>
        <w:tc>
          <w:tcPr>
            <w:tcW w:w="272" w:type="dxa"/>
            <w:vMerge w:val="restart"/>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1～10</w:t>
            </w:r>
          </w:p>
        </w:tc>
        <w:tc>
          <w:tcPr>
            <w:tcW w:w="272" w:type="dxa"/>
            <w:vMerge w:val="restart"/>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272" w:type="dxa"/>
            <w:vMerge w:val="restart"/>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1～20</w:t>
            </w:r>
          </w:p>
        </w:tc>
        <w:tc>
          <w:tcPr>
            <w:tcW w:w="272" w:type="dxa"/>
            <w:vMerge w:val="restart"/>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1分</w:t>
            </w:r>
          </w:p>
        </w:tc>
        <w:tc>
          <w:tcPr>
            <w:tcW w:w="272" w:type="dxa"/>
            <w:vMerge w:val="restart"/>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1～10</w:t>
            </w:r>
          </w:p>
        </w:tc>
        <w:tc>
          <w:tcPr>
            <w:tcW w:w="272" w:type="dxa"/>
            <w:vMerge w:val="restart"/>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31～100</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1分</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21～50</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1分</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6～10</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1分</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6～10</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1分</w:t>
            </w:r>
          </w:p>
        </w:tc>
        <w:tc>
          <w:tcPr>
            <w:tcW w:w="378"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304"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5" w:hRule="atLeast"/>
          <w:jc w:val="center"/>
        </w:trPr>
        <w:tc>
          <w:tcPr>
            <w:tcW w:w="567"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397" w:type="dxa"/>
            <w:vMerge w:val="continue"/>
            <w:tcBorders>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6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p>
        </w:tc>
        <w:tc>
          <w:tcPr>
            <w:tcW w:w="454"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sz w:val="21"/>
                <w:szCs w:val="21"/>
              </w:rPr>
            </w:pPr>
            <w:r>
              <w:rPr>
                <w:rFonts w:hint="eastAsia" w:ascii="仿宋" w:hAnsi="仿宋" w:eastAsia="仿宋" w:cs="仿宋"/>
                <w:sz w:val="21"/>
                <w:szCs w:val="21"/>
              </w:rPr>
              <w:t>供餐人数</w:t>
            </w:r>
          </w:p>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rPr>
              <w:t>51人～</w:t>
            </w:r>
            <w:r>
              <w:rPr>
                <w:rFonts w:hint="eastAsia" w:ascii="仿宋" w:hAnsi="仿宋" w:cs="仿宋"/>
                <w:sz w:val="21"/>
                <w:szCs w:val="21"/>
                <w:lang w:val="en-US" w:eastAsia="zh-CN"/>
              </w:rPr>
              <w:t>1</w:t>
            </w:r>
            <w:r>
              <w:rPr>
                <w:rFonts w:hint="eastAsia" w:ascii="仿宋" w:hAnsi="仿宋" w:eastAsia="仿宋" w:cs="仿宋"/>
                <w:sz w:val="21"/>
                <w:szCs w:val="21"/>
              </w:rPr>
              <w:t>00人</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454" w:type="dxa"/>
            <w:tcBorders>
              <w:top w:val="single" w:color="auto" w:sz="4" w:space="0"/>
              <w:bottom w:val="single" w:color="auto" w:sz="4" w:space="0"/>
            </w:tcBorders>
            <w:shd w:val="clear" w:color="auto" w:fill="auto"/>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配送门店</w:t>
            </w:r>
          </w:p>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6家～10家</w:t>
            </w:r>
          </w:p>
        </w:tc>
        <w:tc>
          <w:tcPr>
            <w:tcW w:w="267" w:type="dxa"/>
            <w:tcBorders>
              <w:top w:val="single" w:color="auto" w:sz="4" w:space="0"/>
              <w:bottom w:val="single" w:color="auto" w:sz="4" w:space="0"/>
            </w:tcBorders>
            <w:shd w:val="clear" w:color="auto" w:fill="auto"/>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267"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w:t>
            </w:r>
            <w:r>
              <w:rPr>
                <w:rFonts w:hint="eastAsia" w:ascii="仿宋" w:hAnsi="仿宋" w:eastAsia="仿宋" w:cs="仿宋"/>
                <w:sz w:val="21"/>
                <w:szCs w:val="21"/>
              </w:rPr>
              <w:t>～10</w:t>
            </w:r>
          </w:p>
        </w:tc>
        <w:tc>
          <w:tcPr>
            <w:tcW w:w="277"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w:t>
            </w:r>
            <w:r>
              <w:rPr>
                <w:rFonts w:hint="eastAsia" w:ascii="仿宋" w:hAnsi="仿宋" w:eastAsia="仿宋" w:cs="仿宋"/>
                <w:sz w:val="21"/>
                <w:szCs w:val="21"/>
              </w:rPr>
              <w:t>～10</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72" w:type="dxa"/>
            <w:vMerge w:val="continue"/>
            <w:tcBorders>
              <w:top w:val="single" w:color="auto" w:sz="4" w:space="0"/>
              <w:bottom w:val="single" w:color="auto" w:sz="4" w:space="0"/>
            </w:tcBorders>
            <w:shd w:val="clear" w:color="auto" w:fill="E7E6E6" w:themeFill="background2"/>
            <w:vAlign w:val="top"/>
          </w:tcPr>
          <w:p>
            <w:pPr>
              <w:keepNext w:val="0"/>
              <w:keepLines w:val="0"/>
              <w:pageBreakBefore w:val="0"/>
              <w:widowControl w:val="0"/>
              <w:kinsoku/>
              <w:wordWrap/>
              <w:overflowPunct/>
              <w:topLinePunct w:val="0"/>
              <w:autoSpaceDE/>
              <w:autoSpaceDN/>
              <w:bidi w:val="0"/>
              <w:adjustRightInd/>
              <w:snapToGrid/>
              <w:spacing w:line="20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72" w:type="dxa"/>
            <w:vMerge w:val="continue"/>
            <w:tcBorders>
              <w:top w:val="single" w:color="auto" w:sz="4" w:space="0"/>
              <w:bottom w:val="single" w:color="auto" w:sz="4" w:space="0"/>
            </w:tcBorders>
            <w:shd w:val="clear" w:color="auto" w:fill="E7E6E6" w:themeFill="background2"/>
            <w:vAlign w:val="top"/>
          </w:tcPr>
          <w:p>
            <w:pPr>
              <w:keepNext w:val="0"/>
              <w:keepLines w:val="0"/>
              <w:pageBreakBefore w:val="0"/>
              <w:widowControl w:val="0"/>
              <w:kinsoku/>
              <w:wordWrap/>
              <w:overflowPunct/>
              <w:topLinePunct w:val="0"/>
              <w:autoSpaceDE/>
              <w:autoSpaceDN/>
              <w:bidi w:val="0"/>
              <w:adjustRightInd/>
              <w:snapToGrid/>
              <w:spacing w:line="20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72" w:type="dxa"/>
            <w:vMerge w:val="continue"/>
            <w:tcBorders>
              <w:top w:val="single" w:color="auto" w:sz="4" w:space="0"/>
              <w:bottom w:val="single" w:color="auto" w:sz="4" w:space="0"/>
            </w:tcBorders>
            <w:shd w:val="clear" w:color="auto" w:fill="E7E6E6" w:themeFill="background2"/>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72" w:type="dxa"/>
            <w:vMerge w:val="continue"/>
            <w:tcBorders>
              <w:top w:val="single" w:color="auto" w:sz="4" w:space="0"/>
              <w:bottom w:val="single" w:color="auto" w:sz="4" w:space="0"/>
            </w:tcBorders>
            <w:shd w:val="clear" w:color="auto" w:fill="E7E6E6" w:themeFill="background2"/>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72"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72"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1～30</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0.5分</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1～20</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0.5分</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0.5分</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1～5</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0.5分</w:t>
            </w:r>
          </w:p>
        </w:tc>
        <w:tc>
          <w:tcPr>
            <w:tcW w:w="378"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304"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4" w:hRule="atLeast"/>
          <w:jc w:val="center"/>
        </w:trPr>
        <w:tc>
          <w:tcPr>
            <w:tcW w:w="567"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397" w:type="dxa"/>
            <w:vMerge w:val="continue"/>
            <w:tcBorders>
              <w:left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6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p>
        </w:tc>
        <w:tc>
          <w:tcPr>
            <w:tcW w:w="454"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供餐人数</w:t>
            </w:r>
          </w:p>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50人及以下</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454" w:type="dxa"/>
            <w:tcBorders>
              <w:top w:val="single" w:color="auto" w:sz="4" w:space="0"/>
              <w:bottom w:val="single" w:color="auto" w:sz="4" w:space="0"/>
            </w:tcBorders>
            <w:shd w:val="clear" w:color="auto" w:fill="auto"/>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配送门店</w:t>
            </w:r>
          </w:p>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1家～5家</w:t>
            </w:r>
          </w:p>
        </w:tc>
        <w:tc>
          <w:tcPr>
            <w:tcW w:w="267" w:type="dxa"/>
            <w:tcBorders>
              <w:top w:val="single" w:color="auto" w:sz="4" w:space="0"/>
              <w:bottom w:val="single" w:color="auto" w:sz="4" w:space="0"/>
            </w:tcBorders>
            <w:shd w:val="clear" w:color="auto" w:fill="auto"/>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default"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267"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77"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72" w:type="dxa"/>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数量</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378"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304"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jc w:val="center"/>
        </w:trPr>
        <w:tc>
          <w:tcPr>
            <w:tcW w:w="567"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397" w:type="dxa"/>
            <w:vMerge w:val="restart"/>
            <w:tcBorders>
              <w:left w:val="single" w:color="auto" w:sz="8" w:space="0"/>
              <w:bottom w:val="single" w:color="auto" w:sz="8" w:space="0"/>
            </w:tcBorders>
            <w:textDirection w:val="btLr"/>
            <w:vAlign w:val="top"/>
          </w:tcPr>
          <w:p>
            <w:pPr>
              <w:keepNext w:val="0"/>
              <w:keepLines w:val="0"/>
              <w:pageBreakBefore w:val="0"/>
              <w:widowControl w:val="0"/>
              <w:kinsoku/>
              <w:wordWrap/>
              <w:overflowPunct/>
              <w:topLinePunct w:val="0"/>
              <w:autoSpaceDE/>
              <w:autoSpaceDN/>
              <w:bidi w:val="0"/>
              <w:adjustRightInd/>
              <w:snapToGrid/>
              <w:spacing w:line="260" w:lineRule="exact"/>
              <w:ind w:left="113" w:right="113"/>
              <w:jc w:val="center"/>
              <w:textAlignment w:val="auto"/>
              <w:outlineLvl w:val="9"/>
              <w:rPr>
                <w:rFonts w:hint="eastAsia" w:ascii="仿宋" w:hAnsi="仿宋" w:eastAsia="仿宋" w:cs="仿宋"/>
                <w:i w:val="0"/>
                <w:color w:val="000000"/>
                <w:kern w:val="0"/>
                <w:sz w:val="28"/>
                <w:szCs w:val="28"/>
                <w:u w:val="none"/>
                <w:vertAlign w:val="baseline"/>
                <w:lang w:val="en-US" w:eastAsia="zh-CN" w:bidi="ar"/>
              </w:rPr>
            </w:pPr>
            <w:r>
              <w:rPr>
                <w:rFonts w:hint="eastAsia" w:ascii="仿宋" w:hAnsi="仿宋" w:eastAsia="仿宋" w:cs="仿宋"/>
                <w:sz w:val="28"/>
                <w:szCs w:val="28"/>
              </w:rPr>
              <w:t>评分项（共40分）</w:t>
            </w:r>
          </w:p>
        </w:tc>
        <w:tc>
          <w:tcPr>
            <w:tcW w:w="454"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规模</w:t>
            </w:r>
          </w:p>
        </w:tc>
        <w:tc>
          <w:tcPr>
            <w:tcW w:w="272" w:type="dxa"/>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454" w:type="dxa"/>
            <w:tcBorders>
              <w:top w:val="single" w:color="auto" w:sz="4" w:space="0"/>
              <w:bottom w:val="single" w:color="auto" w:sz="4" w:space="0"/>
            </w:tcBorders>
            <w:shd w:val="clear" w:color="auto" w:fill="auto"/>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规模</w:t>
            </w:r>
          </w:p>
        </w:tc>
        <w:tc>
          <w:tcPr>
            <w:tcW w:w="267" w:type="dxa"/>
            <w:tcBorders>
              <w:top w:val="single" w:color="auto" w:sz="4" w:space="0"/>
              <w:bottom w:val="single" w:color="auto" w:sz="4" w:space="0"/>
            </w:tcBorders>
            <w:shd w:val="clear" w:color="auto" w:fill="auto"/>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分值</w:t>
            </w:r>
          </w:p>
        </w:tc>
        <w:tc>
          <w:tcPr>
            <w:tcW w:w="544" w:type="dxa"/>
            <w:gridSpan w:val="2"/>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（4分）</w:t>
            </w:r>
          </w:p>
        </w:tc>
        <w:tc>
          <w:tcPr>
            <w:tcW w:w="544"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含易腐原料（4分）</w:t>
            </w:r>
          </w:p>
        </w:tc>
        <w:tc>
          <w:tcPr>
            <w:tcW w:w="544" w:type="dxa"/>
            <w:gridSpan w:val="2"/>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（8分）</w:t>
            </w:r>
          </w:p>
        </w:tc>
        <w:tc>
          <w:tcPr>
            <w:tcW w:w="544" w:type="dxa"/>
            <w:gridSpan w:val="2"/>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544"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含易腐原料（4分）</w:t>
            </w:r>
          </w:p>
        </w:tc>
        <w:tc>
          <w:tcPr>
            <w:tcW w:w="544" w:type="dxa"/>
            <w:gridSpan w:val="2"/>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544"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leftChars="0" w:right="113" w:rightChars="0"/>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含易腐原料（2分）</w:t>
            </w:r>
          </w:p>
        </w:tc>
        <w:tc>
          <w:tcPr>
            <w:tcW w:w="544" w:type="dxa"/>
            <w:gridSpan w:val="2"/>
            <w:tcBorders>
              <w:top w:val="single" w:color="auto" w:sz="4" w:space="0"/>
              <w:bottom w:val="single" w:color="auto" w:sz="4" w:space="0"/>
            </w:tcBorders>
            <w:shd w:val="clear" w:color="auto" w:fill="E7E6E6" w:themeFill="background2"/>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544"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单品数</w:t>
            </w:r>
          </w:p>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（2分）</w:t>
            </w:r>
          </w:p>
        </w:tc>
        <w:tc>
          <w:tcPr>
            <w:tcW w:w="378" w:type="dxa"/>
            <w:vMerge w:val="continue"/>
            <w:tcBorders>
              <w:top w:val="single" w:color="auto" w:sz="4" w:space="0"/>
              <w:bottom w:val="single" w:color="auto" w:sz="4"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304"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1" w:hRule="atLeast"/>
          <w:jc w:val="center"/>
        </w:trPr>
        <w:tc>
          <w:tcPr>
            <w:tcW w:w="567" w:type="dxa"/>
            <w:vMerge w:val="continue"/>
            <w:tcBorders>
              <w:left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397" w:type="dxa"/>
            <w:vMerge w:val="continue"/>
            <w:tcBorders>
              <w:top w:val="single" w:color="auto" w:sz="8" w:space="0"/>
              <w:left w:val="single" w:color="auto" w:sz="8" w:space="0"/>
              <w:bottom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726"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集体用餐</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配送单位</w:t>
            </w:r>
          </w:p>
        </w:tc>
        <w:tc>
          <w:tcPr>
            <w:tcW w:w="721"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中央厨房</w:t>
            </w:r>
          </w:p>
        </w:tc>
        <w:tc>
          <w:tcPr>
            <w:tcW w:w="1088" w:type="dxa"/>
            <w:gridSpan w:val="4"/>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leftChars="0" w:right="113" w:rightChars="0"/>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冷食类食品制售（8分）</w:t>
            </w:r>
          </w:p>
        </w:tc>
        <w:tc>
          <w:tcPr>
            <w:tcW w:w="544"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生食类食品制售（8分）</w:t>
            </w:r>
          </w:p>
        </w:tc>
        <w:tc>
          <w:tcPr>
            <w:tcW w:w="1088" w:type="dxa"/>
            <w:gridSpan w:val="4"/>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糕点类食品制售</w:t>
            </w:r>
            <w:r>
              <w:rPr>
                <w:rFonts w:hint="eastAsia" w:ascii="仿宋" w:hAnsi="仿宋" w:cs="仿宋"/>
                <w:i w:val="0"/>
                <w:color w:val="000000"/>
                <w:kern w:val="0"/>
                <w:sz w:val="21"/>
                <w:szCs w:val="21"/>
                <w:u w:val="none"/>
                <w:vertAlign w:val="baseline"/>
                <w:lang w:val="en-US" w:eastAsia="zh-CN" w:bidi="ar"/>
              </w:rPr>
              <w:t>（</w:t>
            </w:r>
            <w:r>
              <w:rPr>
                <w:rFonts w:hint="eastAsia" w:ascii="仿宋" w:hAnsi="仿宋" w:eastAsia="仿宋" w:cs="仿宋"/>
                <w:i w:val="0"/>
                <w:color w:val="000000"/>
                <w:kern w:val="0"/>
                <w:sz w:val="21"/>
                <w:szCs w:val="21"/>
                <w:u w:val="none"/>
                <w:vertAlign w:val="baseline"/>
                <w:lang w:val="en-US" w:eastAsia="zh-CN" w:bidi="ar"/>
              </w:rPr>
              <w:t>包括裱花蛋糕</w:t>
            </w:r>
            <w:r>
              <w:rPr>
                <w:rFonts w:hint="eastAsia" w:ascii="仿宋" w:hAnsi="仿宋" w:cs="仿宋"/>
                <w:i w:val="0"/>
                <w:color w:val="000000"/>
                <w:kern w:val="0"/>
                <w:sz w:val="21"/>
                <w:szCs w:val="21"/>
                <w:u w:val="none"/>
                <w:vertAlign w:val="baseline"/>
                <w:lang w:val="en-US" w:eastAsia="zh-CN" w:bidi="ar"/>
              </w:rPr>
              <w:t>）（</w:t>
            </w:r>
            <w:r>
              <w:rPr>
                <w:rFonts w:hint="eastAsia" w:ascii="仿宋" w:hAnsi="仿宋" w:eastAsia="仿宋" w:cs="仿宋"/>
                <w:i w:val="0"/>
                <w:color w:val="000000"/>
                <w:kern w:val="0"/>
                <w:sz w:val="21"/>
                <w:szCs w:val="21"/>
                <w:u w:val="none"/>
                <w:vertAlign w:val="baseline"/>
                <w:lang w:val="en-US" w:eastAsia="zh-CN" w:bidi="ar"/>
              </w:rPr>
              <w:t>6分）</w:t>
            </w:r>
          </w:p>
        </w:tc>
        <w:tc>
          <w:tcPr>
            <w:tcW w:w="1088" w:type="dxa"/>
            <w:gridSpan w:val="4"/>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热食类食品制售（4分）</w:t>
            </w:r>
          </w:p>
        </w:tc>
        <w:tc>
          <w:tcPr>
            <w:tcW w:w="544"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自制饮品制售（2分）</w:t>
            </w:r>
          </w:p>
        </w:tc>
        <w:tc>
          <w:tcPr>
            <w:tcW w:w="544" w:type="dxa"/>
            <w:gridSpan w:val="2"/>
            <w:tcBorders>
              <w:top w:val="single" w:color="auto" w:sz="4" w:space="0"/>
              <w:bottom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其他类食品制售（2分）</w:t>
            </w:r>
          </w:p>
        </w:tc>
        <w:tc>
          <w:tcPr>
            <w:tcW w:w="378" w:type="dxa"/>
            <w:vMerge w:val="restart"/>
            <w:tcBorders>
              <w:top w:val="single" w:color="auto" w:sz="4"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0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cs="仿宋"/>
                <w:i w:val="0"/>
                <w:color w:val="000000"/>
                <w:kern w:val="0"/>
                <w:sz w:val="21"/>
                <w:szCs w:val="21"/>
                <w:u w:val="none"/>
                <w:vertAlign w:val="baseline"/>
                <w:lang w:val="en-US" w:eastAsia="zh-CN" w:bidi="ar"/>
              </w:rPr>
              <w:t>得分总和</w:t>
            </w:r>
          </w:p>
        </w:tc>
        <w:tc>
          <w:tcPr>
            <w:tcW w:w="1304" w:type="dxa"/>
            <w:vMerge w:val="continue"/>
            <w:tcBorders>
              <w:top w:val="single" w:color="auto" w:sz="4" w:space="0"/>
              <w:bottom w:val="single" w:color="auto" w:sz="4"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5" w:hRule="atLeast"/>
          <w:jc w:val="center"/>
        </w:trPr>
        <w:tc>
          <w:tcPr>
            <w:tcW w:w="567" w:type="dxa"/>
            <w:vMerge w:val="continue"/>
            <w:tcBorders>
              <w:left w:val="nil"/>
              <w:bottom w:val="nil"/>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397" w:type="dxa"/>
            <w:vMerge w:val="continue"/>
            <w:tcBorders>
              <w:top w:val="single" w:color="auto" w:sz="8" w:space="0"/>
              <w:left w:val="single" w:color="auto" w:sz="8" w:space="0"/>
              <w:bottom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00" w:lineRule="exact"/>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447" w:type="dxa"/>
            <w:gridSpan w:val="4"/>
            <w:tcBorders>
              <w:top w:val="single" w:color="auto" w:sz="4" w:space="0"/>
              <w:bottom w:val="single" w:color="auto" w:sz="8"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业态和</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规模</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（10分）</w:t>
            </w:r>
          </w:p>
        </w:tc>
        <w:tc>
          <w:tcPr>
            <w:tcW w:w="4896" w:type="dxa"/>
            <w:gridSpan w:val="18"/>
            <w:tcBorders>
              <w:top w:val="single" w:color="auto" w:sz="4" w:space="0"/>
              <w:bottom w:val="single" w:color="auto" w:sz="8" w:space="0"/>
            </w:tcBorders>
            <w:textDirection w:val="btLr"/>
            <w:vAlign w:val="center"/>
          </w:tcPr>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制作食品的类别和数量</w:t>
            </w:r>
          </w:p>
          <w:p>
            <w:pPr>
              <w:keepNext w:val="0"/>
              <w:keepLines w:val="0"/>
              <w:pageBreakBefore w:val="0"/>
              <w:widowControl w:val="0"/>
              <w:kinsoku/>
              <w:wordWrap/>
              <w:overflowPunct/>
              <w:topLinePunct w:val="0"/>
              <w:autoSpaceDE/>
              <w:autoSpaceDN/>
              <w:bidi w:val="0"/>
              <w:adjustRightInd/>
              <w:snapToGrid/>
              <w:spacing w:line="240" w:lineRule="exact"/>
              <w:ind w:left="113" w:right="113"/>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r>
              <w:rPr>
                <w:rFonts w:hint="eastAsia" w:ascii="仿宋" w:hAnsi="仿宋" w:eastAsia="仿宋" w:cs="仿宋"/>
                <w:i w:val="0"/>
                <w:color w:val="000000"/>
                <w:kern w:val="0"/>
                <w:sz w:val="21"/>
                <w:szCs w:val="21"/>
                <w:u w:val="none"/>
                <w:vertAlign w:val="baseline"/>
                <w:lang w:val="en-US" w:eastAsia="zh-CN" w:bidi="ar"/>
              </w:rPr>
              <w:t>（30分）</w:t>
            </w:r>
          </w:p>
        </w:tc>
        <w:tc>
          <w:tcPr>
            <w:tcW w:w="378" w:type="dxa"/>
            <w:vMerge w:val="continue"/>
            <w:tcBorders>
              <w:bottom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c>
          <w:tcPr>
            <w:tcW w:w="1304" w:type="dxa"/>
            <w:vMerge w:val="continue"/>
            <w:tcBorders>
              <w:top w:val="single" w:color="auto" w:sz="4" w:space="0"/>
              <w:bottom w:val="single" w:color="auto" w:sz="8" w:space="0"/>
              <w:right w:val="single" w:color="auto" w:sz="8" w:space="0"/>
            </w:tcBorders>
            <w:vAlign w:val="top"/>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outlineLvl w:val="9"/>
              <w:rPr>
                <w:rFonts w:hint="eastAsia" w:ascii="仿宋" w:hAnsi="仿宋" w:eastAsia="仿宋" w:cs="仿宋"/>
                <w:i w:val="0"/>
                <w:color w:val="000000"/>
                <w:kern w:val="0"/>
                <w:sz w:val="21"/>
                <w:szCs w:val="21"/>
                <w:u w:val="none"/>
                <w:vertAlign w:val="baseline"/>
                <w:lang w:val="en-US" w:eastAsia="zh-CN" w:bidi="ar"/>
              </w:rPr>
            </w:pPr>
          </w:p>
        </w:tc>
      </w:tr>
    </w:tbl>
    <w:tbl>
      <w:tblPr>
        <w:tblStyle w:val="5"/>
        <w:tblW w:w="8740" w:type="dxa"/>
        <w:jc w:val="center"/>
        <w:tblInd w:w="176" w:type="dxa"/>
        <w:shd w:val="clear" w:color="auto" w:fill="auto"/>
        <w:tblLayout w:type="fixed"/>
        <w:tblCellMar>
          <w:top w:w="0" w:type="dxa"/>
          <w:left w:w="0" w:type="dxa"/>
          <w:bottom w:w="0" w:type="dxa"/>
          <w:right w:w="0" w:type="dxa"/>
        </w:tblCellMar>
      </w:tblPr>
      <w:tblGrid>
        <w:gridCol w:w="1061"/>
        <w:gridCol w:w="91"/>
        <w:gridCol w:w="1848"/>
        <w:gridCol w:w="116"/>
        <w:gridCol w:w="867"/>
        <w:gridCol w:w="557"/>
        <w:gridCol w:w="810"/>
        <w:gridCol w:w="184"/>
        <w:gridCol w:w="466"/>
        <w:gridCol w:w="717"/>
        <w:gridCol w:w="693"/>
        <w:gridCol w:w="1330"/>
      </w:tblGrid>
      <w:tr>
        <w:tblPrEx>
          <w:shd w:val="clear" w:color="auto" w:fill="auto"/>
          <w:tblLayout w:type="fixed"/>
          <w:tblCellMar>
            <w:top w:w="0" w:type="dxa"/>
            <w:left w:w="0" w:type="dxa"/>
            <w:bottom w:w="0" w:type="dxa"/>
            <w:right w:w="0" w:type="dxa"/>
          </w:tblCellMar>
        </w:tblPrEx>
        <w:trPr>
          <w:trHeight w:val="960" w:hRule="atLeast"/>
          <w:jc w:val="center"/>
        </w:trPr>
        <w:tc>
          <w:tcPr>
            <w:tcW w:w="8740" w:type="dxa"/>
            <w:gridSpan w:val="12"/>
            <w:tcBorders>
              <w:top w:val="nil"/>
              <w:left w:val="nil"/>
              <w:bottom w:val="nil"/>
              <w:right w:val="nil"/>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40" w:lineRule="exact"/>
              <w:jc w:val="center"/>
              <w:textAlignment w:val="center"/>
              <w:outlineLvl w:val="9"/>
              <w:rPr>
                <w:rFonts w:hint="eastAsia" w:ascii="方正小标宋简体" w:hAnsi="方正小标宋简体" w:eastAsia="方正小标宋简体" w:cs="方正小标宋简体"/>
                <w:i w:val="0"/>
                <w:color w:val="000000"/>
                <w:sz w:val="44"/>
                <w:szCs w:val="44"/>
                <w:u w:val="none"/>
              </w:rPr>
            </w:pPr>
            <w:r>
              <w:rPr>
                <w:rFonts w:hint="eastAsia" w:ascii="方正小标宋简体" w:hAnsi="方正小标宋简体" w:eastAsia="方正小标宋简体" w:cs="方正小标宋简体"/>
                <w:i w:val="0"/>
                <w:color w:val="000000"/>
                <w:kern w:val="0"/>
                <w:sz w:val="32"/>
                <w:szCs w:val="32"/>
                <w:u w:val="none"/>
                <w:lang w:val="en-US" w:eastAsia="zh-CN" w:bidi="ar"/>
              </w:rPr>
              <w:t>河北省</w:t>
            </w:r>
            <w:r>
              <w:rPr>
                <w:rFonts w:hint="eastAsia" w:ascii="方正小标宋简体" w:hAnsi="方正小标宋简体" w:eastAsia="方正小标宋简体" w:cs="方正小标宋简体"/>
                <w:i w:val="0"/>
                <w:color w:val="000000"/>
                <w:kern w:val="0"/>
                <w:sz w:val="32"/>
                <w:szCs w:val="32"/>
                <w:u w:val="single"/>
                <w:lang w:val="en-US" w:eastAsia="zh-CN" w:bidi="ar"/>
              </w:rPr>
              <w:t xml:space="preserve">                    </w:t>
            </w:r>
            <w:r>
              <w:rPr>
                <w:rFonts w:hint="eastAsia" w:ascii="方正小标宋简体" w:hAnsi="方正小标宋简体" w:eastAsia="方正小标宋简体" w:cs="方正小标宋简体"/>
                <w:i w:val="0"/>
                <w:color w:val="000000"/>
                <w:kern w:val="0"/>
                <w:sz w:val="32"/>
                <w:szCs w:val="32"/>
                <w:u w:val="none"/>
                <w:lang w:val="en-US" w:eastAsia="zh-CN" w:bidi="ar"/>
              </w:rPr>
              <w:t>市场监督管理局</w:t>
            </w:r>
            <w:r>
              <w:rPr>
                <w:rFonts w:hint="eastAsia" w:ascii="方正小标宋简体" w:hAnsi="方正小标宋简体" w:eastAsia="方正小标宋简体" w:cs="方正小标宋简体"/>
                <w:i w:val="0"/>
                <w:color w:val="000000"/>
                <w:kern w:val="0"/>
                <w:sz w:val="32"/>
                <w:szCs w:val="32"/>
                <w:u w:val="none"/>
                <w:lang w:val="en-US" w:eastAsia="zh-CN" w:bidi="ar"/>
              </w:rPr>
              <w:br w:type="textWrapping"/>
            </w:r>
            <w:r>
              <w:rPr>
                <w:rFonts w:hint="eastAsia" w:ascii="方正小标宋简体" w:hAnsi="方正小标宋简体" w:eastAsia="方正小标宋简体" w:cs="方正小标宋简体"/>
                <w:i w:val="0"/>
                <w:color w:val="000000"/>
                <w:kern w:val="0"/>
                <w:sz w:val="44"/>
                <w:szCs w:val="44"/>
                <w:u w:val="none"/>
                <w:lang w:val="en-US" w:eastAsia="zh-CN" w:bidi="ar"/>
              </w:rPr>
              <w:t>餐饮服务食品安全监督检查结果记录表</w:t>
            </w:r>
          </w:p>
        </w:tc>
      </w:tr>
      <w:tr>
        <w:tblPrEx>
          <w:tblLayout w:type="fixed"/>
          <w:tblCellMar>
            <w:top w:w="0" w:type="dxa"/>
            <w:left w:w="0" w:type="dxa"/>
            <w:bottom w:w="0" w:type="dxa"/>
            <w:right w:w="0" w:type="dxa"/>
          </w:tblCellMar>
        </w:tblPrEx>
        <w:trPr>
          <w:trHeight w:val="280" w:hRule="atLeast"/>
          <w:jc w:val="center"/>
        </w:trPr>
        <w:tc>
          <w:tcPr>
            <w:tcW w:w="1061" w:type="dxa"/>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400" w:lineRule="exact"/>
              <w:jc w:val="right"/>
              <w:outlineLvl w:val="9"/>
              <w:rPr>
                <w:rFonts w:hint="eastAsia" w:ascii="宋体" w:hAnsi="宋体" w:eastAsia="宋体" w:cs="宋体"/>
                <w:i w:val="0"/>
                <w:color w:val="000000"/>
                <w:sz w:val="21"/>
                <w:szCs w:val="21"/>
                <w:u w:val="none"/>
              </w:rPr>
            </w:pPr>
          </w:p>
        </w:tc>
        <w:tc>
          <w:tcPr>
            <w:tcW w:w="1939" w:type="dxa"/>
            <w:gridSpan w:val="2"/>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400" w:lineRule="exact"/>
              <w:jc w:val="right"/>
              <w:outlineLvl w:val="9"/>
              <w:rPr>
                <w:rFonts w:hint="eastAsia" w:ascii="宋体" w:hAnsi="宋体" w:eastAsia="宋体" w:cs="宋体"/>
                <w:i w:val="0"/>
                <w:color w:val="000000"/>
                <w:sz w:val="21"/>
                <w:szCs w:val="21"/>
                <w:u w:val="none"/>
              </w:rPr>
            </w:pPr>
          </w:p>
        </w:tc>
        <w:tc>
          <w:tcPr>
            <w:tcW w:w="983" w:type="dxa"/>
            <w:gridSpan w:val="2"/>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400" w:lineRule="exact"/>
              <w:jc w:val="right"/>
              <w:outlineLvl w:val="9"/>
              <w:rPr>
                <w:rFonts w:hint="eastAsia" w:ascii="宋体" w:hAnsi="宋体" w:eastAsia="宋体" w:cs="宋体"/>
                <w:i w:val="0"/>
                <w:color w:val="000000"/>
                <w:sz w:val="21"/>
                <w:szCs w:val="21"/>
                <w:u w:val="none"/>
              </w:rPr>
            </w:pPr>
          </w:p>
        </w:tc>
        <w:tc>
          <w:tcPr>
            <w:tcW w:w="1367" w:type="dxa"/>
            <w:gridSpan w:val="2"/>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400" w:lineRule="exact"/>
              <w:jc w:val="right"/>
              <w:outlineLvl w:val="9"/>
              <w:rPr>
                <w:rFonts w:hint="eastAsia" w:ascii="宋体" w:hAnsi="宋体" w:eastAsia="宋体" w:cs="宋体"/>
                <w:i w:val="0"/>
                <w:color w:val="000000"/>
                <w:sz w:val="21"/>
                <w:szCs w:val="21"/>
                <w:u w:val="none"/>
              </w:rPr>
            </w:pPr>
          </w:p>
        </w:tc>
        <w:tc>
          <w:tcPr>
            <w:tcW w:w="1367" w:type="dxa"/>
            <w:gridSpan w:val="3"/>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outlineLvl w:val="9"/>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编号：</w:t>
            </w:r>
          </w:p>
        </w:tc>
        <w:tc>
          <w:tcPr>
            <w:tcW w:w="2023" w:type="dxa"/>
            <w:gridSpan w:val="2"/>
            <w:tcBorders>
              <w:top w:val="nil"/>
              <w:left w:val="nil"/>
              <w:bottom w:val="nil"/>
              <w:right w:val="nil"/>
            </w:tcBorders>
            <w:shd w:val="clear" w:color="auto" w:fill="auto"/>
            <w:tcMar>
              <w:top w:w="10" w:type="dxa"/>
              <w:left w:w="10" w:type="dxa"/>
              <w:right w:w="10" w:type="dxa"/>
            </w:tcMar>
            <w:vAlign w:val="bottom"/>
          </w:tcPr>
          <w:p>
            <w:pPr>
              <w:keepNext w:val="0"/>
              <w:keepLines w:val="0"/>
              <w:pageBreakBefore w:val="0"/>
              <w:widowControl/>
              <w:kinsoku/>
              <w:wordWrap/>
              <w:overflowPunct/>
              <w:topLinePunct w:val="0"/>
              <w:autoSpaceDE/>
              <w:autoSpaceDN/>
              <w:bidi w:val="0"/>
              <w:adjustRightInd/>
              <w:snapToGrid/>
              <w:spacing w:line="400" w:lineRule="exact"/>
              <w:jc w:val="right"/>
              <w:outlineLvl w:val="9"/>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369" w:hRule="atLeast"/>
          <w:jc w:val="center"/>
        </w:trPr>
        <w:tc>
          <w:tcPr>
            <w:tcW w:w="1152"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名  称</w:t>
            </w:r>
          </w:p>
        </w:tc>
        <w:tc>
          <w:tcPr>
            <w:tcW w:w="4382"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18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 系 人</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369" w:hRule="atLeast"/>
          <w:jc w:val="center"/>
        </w:trPr>
        <w:tc>
          <w:tcPr>
            <w:tcW w:w="1152"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地  址</w:t>
            </w:r>
          </w:p>
        </w:tc>
        <w:tc>
          <w:tcPr>
            <w:tcW w:w="4382"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18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联系方式</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369" w:hRule="atLeast"/>
          <w:jc w:val="center"/>
        </w:trPr>
        <w:tc>
          <w:tcPr>
            <w:tcW w:w="1152"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许可证号</w:t>
            </w:r>
          </w:p>
        </w:tc>
        <w:tc>
          <w:tcPr>
            <w:tcW w:w="4382" w:type="dxa"/>
            <w:gridSpan w:val="6"/>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18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检查次数</w:t>
            </w:r>
          </w:p>
        </w:tc>
        <w:tc>
          <w:tcPr>
            <w:tcW w:w="2023"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本年度第</w:t>
            </w:r>
            <w:r>
              <w:rPr>
                <w:rStyle w:val="12"/>
                <w:lang w:val="en-US" w:eastAsia="zh-CN" w:bidi="ar"/>
              </w:rPr>
              <w:t xml:space="preserve">  </w:t>
            </w:r>
            <w:r>
              <w:rPr>
                <w:rStyle w:val="12"/>
                <w:rFonts w:hint="eastAsia"/>
                <w:lang w:val="en-US" w:eastAsia="zh-CN" w:bidi="ar"/>
              </w:rPr>
              <w:t xml:space="preserve"> </w:t>
            </w: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次检查</w:t>
            </w:r>
          </w:p>
        </w:tc>
      </w:tr>
      <w:tr>
        <w:tblPrEx>
          <w:tblLayout w:type="fixed"/>
          <w:tblCellMar>
            <w:top w:w="0" w:type="dxa"/>
            <w:left w:w="0" w:type="dxa"/>
            <w:bottom w:w="0" w:type="dxa"/>
            <w:right w:w="0" w:type="dxa"/>
          </w:tblCellMar>
        </w:tblPrEx>
        <w:trPr>
          <w:trHeight w:val="1361" w:hRule="atLeast"/>
          <w:jc w:val="center"/>
        </w:trPr>
        <w:tc>
          <w:tcPr>
            <w:tcW w:w="8740" w:type="dxa"/>
            <w:gridSpan w:val="12"/>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检查内容：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w:t>
            </w:r>
            <w:r>
              <w:rPr>
                <w:rStyle w:val="12"/>
                <w:lang w:val="en-US" w:eastAsia="zh-CN" w:bidi="ar"/>
              </w:rPr>
              <w:t xml:space="preserve">                    </w:t>
            </w:r>
            <w:r>
              <w:rPr>
                <w:rStyle w:val="12"/>
                <w:rFonts w:hint="eastAsia"/>
                <w:lang w:val="en-US" w:eastAsia="zh-CN" w:bidi="ar"/>
              </w:rPr>
              <w:t xml:space="preserve">  </w:t>
            </w: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（市场监管部门）检查人员</w:t>
            </w:r>
            <w:r>
              <w:rPr>
                <w:rStyle w:val="12"/>
                <w:lang w:val="en-US" w:eastAsia="zh-CN" w:bidi="ar"/>
              </w:rPr>
              <w:t xml:space="preserve">       </w:t>
            </w:r>
            <w:r>
              <w:rPr>
                <w:rStyle w:val="12"/>
                <w:rFonts w:hint="eastAsia"/>
                <w:lang w:val="en-US" w:eastAsia="zh-CN" w:bidi="ar"/>
              </w:rPr>
              <w:t xml:space="preserve"> </w:t>
            </w:r>
            <w:r>
              <w:rPr>
                <w:rStyle w:val="12"/>
                <w:lang w:val="en-US" w:eastAsia="zh-CN" w:bidi="ar"/>
              </w:rPr>
              <w:t xml:space="preserve">                   </w:t>
            </w:r>
            <w:r>
              <w:rPr>
                <w:rStyle w:val="12"/>
                <w:u w:val="none"/>
                <w:lang w:val="en-US" w:eastAsia="zh-CN" w:bidi="ar"/>
              </w:rPr>
              <w:t>依</w:t>
            </w:r>
            <w:r>
              <w:rPr>
                <w:rFonts w:hint="eastAsia" w:ascii="宋体" w:hAnsi="宋体" w:eastAsia="宋体" w:cs="宋体"/>
                <w:i w:val="0"/>
                <w:color w:val="000000"/>
                <w:kern w:val="0"/>
                <w:sz w:val="21"/>
                <w:szCs w:val="21"/>
                <w:u w:val="none"/>
                <w:lang w:val="en-US" w:eastAsia="zh-CN" w:bidi="ar"/>
              </w:rPr>
              <w:t>据《中华人民共和国食品安全法》及其实施条例、国家和河北省关于食品生产经营日常监督检查、餐饮服务食品安全量化分级管理、食品生产经营风险分级管理的规定，于</w:t>
            </w: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年</w:t>
            </w:r>
          </w:p>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月</w:t>
            </w: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日对你单位进行了监督检查。本次检查按照《餐饮服务食品安全监督检查参考要点表》开展。</w:t>
            </w:r>
          </w:p>
        </w:tc>
      </w:tr>
      <w:tr>
        <w:tblPrEx>
          <w:tblLayout w:type="fixed"/>
          <w:tblCellMar>
            <w:top w:w="0" w:type="dxa"/>
            <w:left w:w="0" w:type="dxa"/>
            <w:bottom w:w="0" w:type="dxa"/>
            <w:right w:w="0" w:type="dxa"/>
          </w:tblCellMar>
        </w:tblPrEx>
        <w:trPr>
          <w:trHeight w:val="340" w:hRule="atLeast"/>
          <w:jc w:val="center"/>
        </w:trPr>
        <w:tc>
          <w:tcPr>
            <w:tcW w:w="1061"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检查结果</w:t>
            </w: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日常监督检查</w:t>
            </w:r>
          </w:p>
        </w:tc>
        <w:tc>
          <w:tcPr>
            <w:tcW w:w="154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□符  合</w:t>
            </w:r>
          </w:p>
        </w:tc>
        <w:tc>
          <w:tcPr>
            <w:tcW w:w="2870" w:type="dxa"/>
            <w:gridSpan w:val="5"/>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□基本符合</w:t>
            </w:r>
          </w:p>
        </w:tc>
        <w:tc>
          <w:tcPr>
            <w:tcW w:w="13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□不符合</w:t>
            </w:r>
          </w:p>
        </w:tc>
      </w:tr>
      <w:tr>
        <w:tblPrEx>
          <w:tblLayout w:type="fixed"/>
          <w:tblCellMar>
            <w:top w:w="0" w:type="dxa"/>
            <w:left w:w="0" w:type="dxa"/>
            <w:bottom w:w="0" w:type="dxa"/>
            <w:right w:w="0" w:type="dxa"/>
          </w:tblCellMar>
        </w:tblPrEx>
        <w:trPr>
          <w:trHeight w:val="476" w:hRule="atLeast"/>
          <w:jc w:val="center"/>
        </w:trPr>
        <w:tc>
          <w:tcPr>
            <w:tcW w:w="10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动态等级</w:t>
            </w:r>
          </w:p>
        </w:tc>
        <w:tc>
          <w:tcPr>
            <w:tcW w:w="154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□优秀</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（≥9.0分）</w:t>
            </w:r>
          </w:p>
        </w:tc>
        <w:tc>
          <w:tcPr>
            <w:tcW w:w="146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□良好</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（7.5-8.9分）</w:t>
            </w: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□一般</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（6.0-7.4分）</w:t>
            </w:r>
          </w:p>
        </w:tc>
        <w:tc>
          <w:tcPr>
            <w:tcW w:w="13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□需整改</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（≤5.9分）</w:t>
            </w:r>
          </w:p>
        </w:tc>
      </w:tr>
      <w:tr>
        <w:tblPrEx>
          <w:tblLayout w:type="fixed"/>
          <w:tblCellMar>
            <w:top w:w="0" w:type="dxa"/>
            <w:left w:w="0" w:type="dxa"/>
            <w:bottom w:w="0" w:type="dxa"/>
            <w:right w:w="0" w:type="dxa"/>
          </w:tblCellMar>
        </w:tblPrEx>
        <w:trPr>
          <w:trHeight w:val="764" w:hRule="atLeast"/>
          <w:jc w:val="center"/>
        </w:trPr>
        <w:tc>
          <w:tcPr>
            <w:tcW w:w="10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风险等级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（动态风险因素量化分值+静态风险因素量化分值）</w:t>
            </w:r>
          </w:p>
        </w:tc>
        <w:tc>
          <w:tcPr>
            <w:tcW w:w="154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□A级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（0-30分）</w:t>
            </w:r>
          </w:p>
        </w:tc>
        <w:tc>
          <w:tcPr>
            <w:tcW w:w="1460" w:type="dxa"/>
            <w:gridSpan w:val="3"/>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□B级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（31-45分）</w:t>
            </w:r>
          </w:p>
        </w:tc>
        <w:tc>
          <w:tcPr>
            <w:tcW w:w="1410"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（46-60分）</w:t>
            </w:r>
          </w:p>
        </w:tc>
        <w:tc>
          <w:tcPr>
            <w:tcW w:w="133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□D级</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（＞60分）</w:t>
            </w:r>
          </w:p>
        </w:tc>
      </w:tr>
      <w:tr>
        <w:tblPrEx>
          <w:tblLayout w:type="fixed"/>
          <w:tblCellMar>
            <w:top w:w="0" w:type="dxa"/>
            <w:left w:w="0" w:type="dxa"/>
            <w:bottom w:w="0" w:type="dxa"/>
            <w:right w:w="0" w:type="dxa"/>
          </w:tblCellMar>
        </w:tblPrEx>
        <w:trPr>
          <w:trHeight w:val="732" w:hRule="atLeast"/>
          <w:jc w:val="center"/>
        </w:trPr>
        <w:tc>
          <w:tcPr>
            <w:tcW w:w="1061"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结果处理</w:t>
            </w: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本次检查</w:t>
            </w:r>
          </w:p>
        </w:tc>
        <w:tc>
          <w:tcPr>
            <w:tcW w:w="5740" w:type="dxa"/>
            <w:gridSpan w:val="9"/>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□1.通过。</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□2.书面通知整改，限</w:t>
            </w:r>
            <w:r>
              <w:rPr>
                <w:rStyle w:val="12"/>
                <w:lang w:val="en-US" w:eastAsia="zh-CN" w:bidi="ar"/>
              </w:rPr>
              <w:t xml:space="preserve">     </w:t>
            </w:r>
            <w:r>
              <w:rPr>
                <w:rFonts w:hint="eastAsia" w:ascii="宋体" w:hAnsi="宋体" w:eastAsia="宋体" w:cs="宋体"/>
                <w:i w:val="0"/>
                <w:color w:val="000000"/>
                <w:kern w:val="0"/>
                <w:sz w:val="21"/>
                <w:szCs w:val="21"/>
                <w:u w:val="none"/>
                <w:lang w:val="en-US" w:eastAsia="zh-CN" w:bidi="ar"/>
              </w:rPr>
              <w:t>日内改正。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□3.责令立即停止经营。</w:t>
            </w:r>
          </w:p>
        </w:tc>
      </w:tr>
      <w:tr>
        <w:tblPrEx>
          <w:tblLayout w:type="fixed"/>
          <w:tblCellMar>
            <w:top w:w="0" w:type="dxa"/>
            <w:left w:w="0" w:type="dxa"/>
            <w:bottom w:w="0" w:type="dxa"/>
            <w:right w:w="0" w:type="dxa"/>
          </w:tblCellMar>
        </w:tblPrEx>
        <w:trPr>
          <w:trHeight w:val="496" w:hRule="atLeast"/>
          <w:jc w:val="center"/>
        </w:trPr>
        <w:tc>
          <w:tcPr>
            <w:tcW w:w="10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c>
          <w:tcPr>
            <w:tcW w:w="1939" w:type="dxa"/>
            <w:gridSpan w:val="2"/>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年度最低</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检查频次</w:t>
            </w:r>
          </w:p>
        </w:tc>
        <w:tc>
          <w:tcPr>
            <w:tcW w:w="5740" w:type="dxa"/>
            <w:gridSpan w:val="9"/>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11"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□1次      □2次       □3次       □4次</w:t>
            </w:r>
          </w:p>
        </w:tc>
      </w:tr>
      <w:tr>
        <w:tblPrEx>
          <w:tblLayout w:type="fixed"/>
          <w:tblCellMar>
            <w:top w:w="0" w:type="dxa"/>
            <w:left w:w="0" w:type="dxa"/>
            <w:bottom w:w="0" w:type="dxa"/>
            <w:right w:w="0" w:type="dxa"/>
          </w:tblCellMar>
        </w:tblPrEx>
        <w:trPr>
          <w:trHeight w:val="3214" w:hRule="atLeast"/>
          <w:jc w:val="center"/>
        </w:trPr>
        <w:tc>
          <w:tcPr>
            <w:tcW w:w="1061" w:type="dxa"/>
            <w:vMerge w:val="restart"/>
            <w:tcBorders>
              <w:top w:val="nil"/>
              <w:left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是否存在需调高下一年度风险等级情形</w:t>
            </w:r>
          </w:p>
        </w:tc>
        <w:tc>
          <w:tcPr>
            <w:tcW w:w="7679" w:type="dxa"/>
            <w:gridSpan w:val="11"/>
            <w:tcBorders>
              <w:top w:val="nil"/>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是否存在下列情形：</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□故意违反食品安全法律法规，且受到罚款、没收违法所得（非法财物）、责令停产停业等行政处罚的；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□有1次及以上国家或者省级监督抽检不符合食品安全标准的；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□违反食品安全法律法规规定，造成不良社会影响的；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□发生食品安全事故的；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□不按规定进行产品召回或者停止生产经营的；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□拒绝、逃避、阻挠执法人员监督检查，或者拒不配合执法人员依法进行案件调查的；</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□具有法律法规、规章和省级市场监督管理部门规定的其他可以上调风险等级情形的。（可在备注中说明具体情形）</w:t>
            </w:r>
            <w:r>
              <w:rPr>
                <w:rFonts w:hint="eastAsia" w:ascii="宋体" w:hAnsi="宋体" w:eastAsia="宋体" w:cs="宋体"/>
                <w:i w:val="0"/>
                <w:color w:val="000000"/>
                <w:kern w:val="0"/>
                <w:sz w:val="21"/>
                <w:szCs w:val="21"/>
                <w:u w:val="none"/>
                <w:lang w:val="en-US" w:eastAsia="zh-CN" w:bidi="ar"/>
              </w:rPr>
              <w:br w:type="textWrapping"/>
            </w:r>
            <w:r>
              <w:rPr>
                <w:rFonts w:hint="eastAsia" w:ascii="黑体" w:hAnsi="黑体" w:eastAsia="黑体" w:cs="黑体"/>
                <w:i w:val="0"/>
                <w:color w:val="000000"/>
                <w:kern w:val="0"/>
                <w:sz w:val="21"/>
                <w:szCs w:val="21"/>
                <w:u w:val="none"/>
                <w:lang w:val="en-US" w:eastAsia="zh-CN" w:bidi="ar"/>
              </w:rPr>
              <w:t>建议</w:t>
            </w:r>
            <w:r>
              <w:rPr>
                <w:rFonts w:hint="eastAsia" w:ascii="宋体" w:hAnsi="宋体" w:eastAsia="宋体" w:cs="宋体"/>
                <w:i w:val="0"/>
                <w:color w:val="000000"/>
                <w:kern w:val="0"/>
                <w:sz w:val="21"/>
                <w:szCs w:val="21"/>
                <w:u w:val="none"/>
                <w:lang w:val="en-US" w:eastAsia="zh-CN" w:bidi="ar"/>
              </w:rPr>
              <w:t xml:space="preserve">   □上调两个风险等级   □上调一个风险等级    □不调整风险等级</w:t>
            </w:r>
          </w:p>
        </w:tc>
      </w:tr>
      <w:tr>
        <w:tblPrEx>
          <w:shd w:val="clear" w:color="auto" w:fill="auto"/>
          <w:tblLayout w:type="fixed"/>
          <w:tblCellMar>
            <w:top w:w="0" w:type="dxa"/>
            <w:left w:w="0" w:type="dxa"/>
            <w:bottom w:w="0" w:type="dxa"/>
            <w:right w:w="0" w:type="dxa"/>
          </w:tblCellMar>
        </w:tblPrEx>
        <w:trPr>
          <w:trHeight w:val="400" w:hRule="atLeast"/>
          <w:jc w:val="center"/>
        </w:trPr>
        <w:tc>
          <w:tcPr>
            <w:tcW w:w="1061" w:type="dxa"/>
            <w:vMerge w:val="continue"/>
            <w:tcBorders>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宋体" w:hAnsi="宋体" w:eastAsia="宋体" w:cs="宋体"/>
                <w:i w:val="0"/>
                <w:color w:val="000000"/>
                <w:sz w:val="21"/>
                <w:szCs w:val="21"/>
                <w:u w:val="none"/>
              </w:rPr>
            </w:pPr>
          </w:p>
        </w:tc>
        <w:tc>
          <w:tcPr>
            <w:tcW w:w="2055" w:type="dxa"/>
            <w:gridSpan w:val="3"/>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kinsoku/>
              <w:wordWrap/>
              <w:overflowPunct/>
              <w:topLinePunct w:val="0"/>
              <w:autoSpaceDE/>
              <w:autoSpaceDN/>
              <w:bidi w:val="0"/>
              <w:adjustRightInd/>
              <w:snapToGrid/>
              <w:spacing w:line="260" w:lineRule="exact"/>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下一年度风险等级</w:t>
            </w:r>
          </w:p>
        </w:tc>
        <w:tc>
          <w:tcPr>
            <w:tcW w:w="5624" w:type="dxa"/>
            <w:gridSpan w:val="8"/>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□A级     □B级     □C级     □D级</w:t>
            </w:r>
          </w:p>
        </w:tc>
      </w:tr>
      <w:tr>
        <w:tblPrEx>
          <w:tblLayout w:type="fixed"/>
          <w:tblCellMar>
            <w:top w:w="0" w:type="dxa"/>
            <w:left w:w="0" w:type="dxa"/>
            <w:bottom w:w="0" w:type="dxa"/>
            <w:right w:w="0" w:type="dxa"/>
          </w:tblCellMar>
        </w:tblPrEx>
        <w:trPr>
          <w:trHeight w:val="608" w:hRule="atLeast"/>
          <w:jc w:val="center"/>
        </w:trPr>
        <w:tc>
          <w:tcPr>
            <w:tcW w:w="1061" w:type="dxa"/>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备  注</w:t>
            </w:r>
          </w:p>
        </w:tc>
        <w:tc>
          <w:tcPr>
            <w:tcW w:w="7679" w:type="dxa"/>
            <w:gridSpan w:val="11"/>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kinsoku/>
              <w:wordWrap/>
              <w:overflowPunct/>
              <w:topLinePunct w:val="0"/>
              <w:autoSpaceDE/>
              <w:autoSpaceDN/>
              <w:bidi w:val="0"/>
              <w:adjustRightInd/>
              <w:snapToGrid/>
              <w:spacing w:line="260" w:lineRule="exact"/>
              <w:jc w:val="center"/>
              <w:rPr>
                <w:rFonts w:hint="eastAsia" w:ascii="宋体" w:hAnsi="宋体" w:eastAsia="宋体" w:cs="宋体"/>
                <w:i w:val="0"/>
                <w:color w:val="000000"/>
                <w:sz w:val="21"/>
                <w:szCs w:val="21"/>
                <w:u w:val="none"/>
              </w:rPr>
            </w:pPr>
          </w:p>
        </w:tc>
      </w:tr>
      <w:tr>
        <w:tblPrEx>
          <w:tblLayout w:type="fixed"/>
          <w:tblCellMar>
            <w:top w:w="0" w:type="dxa"/>
            <w:left w:w="0" w:type="dxa"/>
            <w:bottom w:w="0" w:type="dxa"/>
            <w:right w:w="0" w:type="dxa"/>
          </w:tblCellMar>
        </w:tblPrEx>
        <w:trPr>
          <w:trHeight w:val="1208" w:hRule="atLeast"/>
          <w:jc w:val="center"/>
        </w:trPr>
        <w:tc>
          <w:tcPr>
            <w:tcW w:w="5350" w:type="dxa"/>
            <w:gridSpan w:val="7"/>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被检查单位意见：</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负责人（签字）：</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20   年   月   日</w:t>
            </w:r>
          </w:p>
        </w:tc>
        <w:tc>
          <w:tcPr>
            <w:tcW w:w="3390" w:type="dxa"/>
            <w:gridSpan w:val="5"/>
            <w:tcBorders>
              <w:top w:val="single" w:color="000000" w:sz="4" w:space="0"/>
              <w:left w:val="single" w:color="000000" w:sz="4" w:space="0"/>
              <w:bottom w:val="single" w:color="000000" w:sz="4" w:space="0"/>
              <w:right w:val="single" w:color="000000" w:sz="4" w:space="0"/>
            </w:tcBorders>
            <w:shd w:val="clear" w:color="auto" w:fill="auto"/>
            <w:tcMar>
              <w:top w:w="11" w:type="dxa"/>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执法人员（签字）：</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20   年   月   日</w:t>
            </w:r>
          </w:p>
        </w:tc>
      </w:tr>
    </w:tbl>
    <w:p>
      <w:pPr>
        <w:keepNext w:val="0"/>
        <w:keepLines w:val="0"/>
        <w:pageBreakBefore w:val="0"/>
        <w:widowControl w:val="0"/>
        <w:kinsoku/>
        <w:wordWrap/>
        <w:overflowPunct/>
        <w:topLinePunct w:val="0"/>
        <w:autoSpaceDE/>
        <w:autoSpaceDN/>
        <w:bidi w:val="0"/>
        <w:adjustRightInd/>
        <w:snapToGrid/>
        <w:spacing w:line="260" w:lineRule="exact"/>
        <w:textAlignment w:val="auto"/>
        <w:outlineLvl w:val="9"/>
        <w:rPr>
          <w:rFonts w:hint="eastAsia" w:ascii="仿宋" w:hAnsi="仿宋" w:eastAsia="仿宋" w:cs="仿宋"/>
          <w:i w:val="0"/>
          <w:color w:val="000000"/>
          <w:kern w:val="0"/>
          <w:sz w:val="21"/>
          <w:szCs w:val="21"/>
          <w:u w:val="none"/>
          <w:lang w:val="en-US" w:eastAsia="zh-CN" w:bidi="ar"/>
        </w:rPr>
      </w:pPr>
      <w:r>
        <w:rPr>
          <w:rFonts w:hint="eastAsia" w:ascii="仿宋" w:hAnsi="仿宋" w:cs="仿宋"/>
          <w:i w:val="0"/>
          <w:color w:val="000000"/>
          <w:kern w:val="0"/>
          <w:sz w:val="21"/>
          <w:szCs w:val="21"/>
          <w:u w:val="none"/>
          <w:lang w:val="en-US" w:eastAsia="zh-CN" w:bidi="ar"/>
        </w:rPr>
        <w:t xml:space="preserve">     </w:t>
      </w:r>
      <w:r>
        <w:rPr>
          <w:rFonts w:hint="eastAsia" w:ascii="黑体" w:hAnsi="黑体" w:eastAsia="黑体" w:cs="黑体"/>
          <w:i w:val="0"/>
          <w:color w:val="000000"/>
          <w:kern w:val="0"/>
          <w:sz w:val="21"/>
          <w:szCs w:val="21"/>
          <w:u w:val="none"/>
          <w:lang w:val="en-US" w:eastAsia="zh-CN" w:bidi="ar"/>
        </w:rPr>
        <w:t>注：</w:t>
      </w:r>
      <w:r>
        <w:rPr>
          <w:rFonts w:hint="eastAsia" w:ascii="仿宋" w:hAnsi="仿宋" w:cs="仿宋"/>
          <w:i w:val="0"/>
          <w:color w:val="000000"/>
          <w:kern w:val="0"/>
          <w:sz w:val="21"/>
          <w:szCs w:val="21"/>
          <w:u w:val="none"/>
          <w:lang w:val="en-US" w:eastAsia="zh-CN" w:bidi="ar"/>
        </w:rPr>
        <w:t>本表一式三份，一份用于经营场所公示，一份被检查单位留存，一份监管部门留存。</w:t>
      </w:r>
    </w:p>
    <w:sectPr>
      <w:footerReference r:id="rId3" w:type="default"/>
      <w:pgSz w:w="11906" w:h="16838"/>
      <w:pgMar w:top="1701" w:right="1417" w:bottom="1701" w:left="1417" w:header="851" w:footer="992" w:gutter="0"/>
      <w:pgBorders>
        <w:top w:val="none" w:sz="0" w:space="0"/>
        <w:left w:val="none" w:sz="0" w:space="0"/>
        <w:bottom w:val="none" w:sz="0" w:space="0"/>
        <w:right w:val="none" w:sz="0" w:space="0"/>
      </w:pgBorders>
      <w:pgNumType w:fmt="numberInDash"/>
      <w:cols w:space="0" w:num="1"/>
      <w:rtlGutter w:val="0"/>
      <w:docGrid w:type="linesAndChars" w:linePitch="595" w:charSpace="81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0000000000000000000"/>
    <w:charset w:val="86"/>
    <w:family w:val="swiss"/>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-184150</wp:posOffset>
              </wp:positionV>
              <wp:extent cx="537210" cy="3302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37210" cy="330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4.5pt;height:26pt;width:42.3pt;mso-position-horizontal:outside;mso-position-horizontal-relative:margin;z-index:251658240;mso-width-relative:page;mso-height-relative:page;" filled="f" stroked="f" coordsize="21600,21600" o:gfxdata="UEsDBAoAAAAAAIdO4kAAAAAAAAAAAAAAAAAEAAAAZHJzL1BLAwQUAAAACACHTuJAL5auXtUAAAAG&#10;AQAADwAAAGRycy9kb3ducmV2LnhtbE2PS0/DMBCE70j8B2uRuLV2AqpKyKYHHjeehUrl5iRLEuFH&#10;ZDtp+fcsJ7jtaEYz35abozViphAH7xCypQJBrvHt4DqE97f7xRpETNq12nhHCN8UYVOdnpS6aP3B&#10;vdK8TZ3gEhcLjdCnNBZSxqYnq+PSj+TY+/TB6sQydLIN+sDl1shcqZW0enC80OuRbnpqvraTRTD7&#10;GB5qlT7m2+4xvTzLaXeXPSGen2XqGkSiY/oLwy8+o0PFTLWfXBuFQeBHEsIiv+KD7fXlCkSNkF8o&#10;kFUp/+NXP1BLAwQUAAAACACHTuJAiX8/3BkCAAATBAAADgAAAGRycy9lMm9Eb2MueG1srVPNjtMw&#10;EL4j8Q6W7zRpq11Q1HRVdlWEVLErFcTZdewmku0xttukPAC8AScue+e5+hyMnaSLgBPi4nyZGc/P&#10;N58XN51W5Cicb8CUdDrJKRGGQ9WYfUk/vF+/eEWJD8xUTIERJT0JT2+Wz58tWluIGdSgKuEIJjG+&#10;aG1J6xBskWWe10IzPwErDDolOM0C/rp9VjnWYnatslmeX2ctuMo64MJ7tN71TrpM+aUUPNxL6UUg&#10;qqTYW0inS+cuntlywYq9Y7Zu+NAG+4cuNGsMFr2kumOBkYNr/kilG+7AgwwTDjoDKRsu0gw4zTT/&#10;bZptzaxIsyA53l5o8v8vLX93fHCkqXB3lBimcUXnb1/P33+cH7+QaaSntb7AqK3FuNC9hi6GDnaP&#10;xjh1J52OX5yHoB+JPl3IFV0gHI1X85ezKXo4uubzHJcXs2RPl63z4Y0ATSIoqcPdJUrZceNDHzqG&#10;xFoG1o1SaGeFMqQt6fX8Kk8XLh5MrgzWiCP0rUYUul039L+D6oRjOeh14S1fN1h8w3x4YA6FgP2i&#10;uMM9HlIBFoEBUVKD+/w3e4zH/aCXkhaFVVL/6cCcoES9Nbi5qMIRuBHsRmAO+hZQq7gN7CZBvOCC&#10;GqF0oD+i5lexCrqY4VirpGGEt6GXN74ZLlarFHSwrtnX/QXUnWVhY7aWxzI9latDANkkliNFPS8D&#10;c6i8tKfhlURp//qfop7e8vI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L5auXtUAAAAGAQAADwAA&#10;AAAAAAABACAAAAAiAAAAZHJzL2Rvd25yZXYueG1sUEsBAhQAFAAAAAgAh07iQIl/P9wZAgAAEwQA&#10;AA4AAAAAAAAAAQAgAAAAJAEAAGRycy9lMm9Eb2MueG1sUEsFBgAAAAAGAAYAWQEAAK8FAAAAAA==&#10;">
              <v:fill on="f" focussize="0,0"/>
              <v:stroke on="f" weight="0.5pt"/>
              <v:imagedata o:title=""/>
              <o:lock v:ext="edit" aspectratio="f"/>
              <v:textbox inset="0mm,0mm,0mm,0mm">
                <w:txbxContent>
                  <w:p>
                    <w:pPr>
                      <w:pStyle w:val="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HorizontalSpacing w:val="162"/>
  <w:drawingGridVerticalSpacing w:val="29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F1437F"/>
    <w:rsid w:val="017945A6"/>
    <w:rsid w:val="01C25A2E"/>
    <w:rsid w:val="0237052D"/>
    <w:rsid w:val="02EC321F"/>
    <w:rsid w:val="02FD16D3"/>
    <w:rsid w:val="03177CE3"/>
    <w:rsid w:val="03531677"/>
    <w:rsid w:val="03D97D25"/>
    <w:rsid w:val="04047DAF"/>
    <w:rsid w:val="04172D69"/>
    <w:rsid w:val="04FC4B69"/>
    <w:rsid w:val="050E4357"/>
    <w:rsid w:val="05382E6D"/>
    <w:rsid w:val="062D50B7"/>
    <w:rsid w:val="066E1E4B"/>
    <w:rsid w:val="06E054A3"/>
    <w:rsid w:val="071916E2"/>
    <w:rsid w:val="071A0AC5"/>
    <w:rsid w:val="07322030"/>
    <w:rsid w:val="07361D2F"/>
    <w:rsid w:val="080C2E0B"/>
    <w:rsid w:val="08E2761E"/>
    <w:rsid w:val="08FC1328"/>
    <w:rsid w:val="0910654D"/>
    <w:rsid w:val="0A2A3CA6"/>
    <w:rsid w:val="0A7A6C61"/>
    <w:rsid w:val="0BA977FA"/>
    <w:rsid w:val="0C57596B"/>
    <w:rsid w:val="0CD1331C"/>
    <w:rsid w:val="0CE1514C"/>
    <w:rsid w:val="0D034463"/>
    <w:rsid w:val="0D2E19C9"/>
    <w:rsid w:val="0D965C80"/>
    <w:rsid w:val="0DCF5414"/>
    <w:rsid w:val="0DE77A2D"/>
    <w:rsid w:val="0DE82CEE"/>
    <w:rsid w:val="0EC325FD"/>
    <w:rsid w:val="0EC41321"/>
    <w:rsid w:val="0ED87FFD"/>
    <w:rsid w:val="0EE93D33"/>
    <w:rsid w:val="10BB2678"/>
    <w:rsid w:val="10C14080"/>
    <w:rsid w:val="10F90022"/>
    <w:rsid w:val="115B5530"/>
    <w:rsid w:val="11816480"/>
    <w:rsid w:val="119137F7"/>
    <w:rsid w:val="11F24C80"/>
    <w:rsid w:val="12226421"/>
    <w:rsid w:val="12323ADC"/>
    <w:rsid w:val="12454BEF"/>
    <w:rsid w:val="12840E57"/>
    <w:rsid w:val="13581F4A"/>
    <w:rsid w:val="13756457"/>
    <w:rsid w:val="14555E98"/>
    <w:rsid w:val="14F6740E"/>
    <w:rsid w:val="156D5343"/>
    <w:rsid w:val="157B628E"/>
    <w:rsid w:val="164701FF"/>
    <w:rsid w:val="164A0C09"/>
    <w:rsid w:val="1652230F"/>
    <w:rsid w:val="165A31E8"/>
    <w:rsid w:val="16D17398"/>
    <w:rsid w:val="176E2350"/>
    <w:rsid w:val="177E5229"/>
    <w:rsid w:val="18D401C7"/>
    <w:rsid w:val="19BB3F38"/>
    <w:rsid w:val="19E55552"/>
    <w:rsid w:val="1A075044"/>
    <w:rsid w:val="1AFE74D1"/>
    <w:rsid w:val="1B4A05C2"/>
    <w:rsid w:val="1BE13BF4"/>
    <w:rsid w:val="1BE45B20"/>
    <w:rsid w:val="1CB32651"/>
    <w:rsid w:val="1CED2842"/>
    <w:rsid w:val="1D585D86"/>
    <w:rsid w:val="1E6408D6"/>
    <w:rsid w:val="1E8528E8"/>
    <w:rsid w:val="1EAF0737"/>
    <w:rsid w:val="1EB42336"/>
    <w:rsid w:val="1F4B44F0"/>
    <w:rsid w:val="1F5F7B4D"/>
    <w:rsid w:val="1F7446A3"/>
    <w:rsid w:val="1F9300E9"/>
    <w:rsid w:val="20501C35"/>
    <w:rsid w:val="21325F04"/>
    <w:rsid w:val="21A534F1"/>
    <w:rsid w:val="22633CF0"/>
    <w:rsid w:val="22697E87"/>
    <w:rsid w:val="235D39B7"/>
    <w:rsid w:val="242347C8"/>
    <w:rsid w:val="248357EE"/>
    <w:rsid w:val="24B61245"/>
    <w:rsid w:val="24C25AE2"/>
    <w:rsid w:val="253347FE"/>
    <w:rsid w:val="25666BE7"/>
    <w:rsid w:val="258D3013"/>
    <w:rsid w:val="259A15BE"/>
    <w:rsid w:val="25BA347D"/>
    <w:rsid w:val="262118CF"/>
    <w:rsid w:val="26AD2846"/>
    <w:rsid w:val="26F81B6F"/>
    <w:rsid w:val="27550DD7"/>
    <w:rsid w:val="27676BE9"/>
    <w:rsid w:val="27990E26"/>
    <w:rsid w:val="28670421"/>
    <w:rsid w:val="287E20FA"/>
    <w:rsid w:val="28931A40"/>
    <w:rsid w:val="28A22404"/>
    <w:rsid w:val="28AB3B1D"/>
    <w:rsid w:val="28C03DFB"/>
    <w:rsid w:val="29BF1519"/>
    <w:rsid w:val="2A2743AA"/>
    <w:rsid w:val="2A5237A5"/>
    <w:rsid w:val="2A6D71E7"/>
    <w:rsid w:val="2B401F45"/>
    <w:rsid w:val="2BA76AF4"/>
    <w:rsid w:val="2C575092"/>
    <w:rsid w:val="2C6012C7"/>
    <w:rsid w:val="2C883738"/>
    <w:rsid w:val="2CDA61EB"/>
    <w:rsid w:val="2CE17F46"/>
    <w:rsid w:val="2D085762"/>
    <w:rsid w:val="2D621FE4"/>
    <w:rsid w:val="2DB17A93"/>
    <w:rsid w:val="2DF83CDE"/>
    <w:rsid w:val="2E4A276A"/>
    <w:rsid w:val="2E775D08"/>
    <w:rsid w:val="2EB65C92"/>
    <w:rsid w:val="2FA50F00"/>
    <w:rsid w:val="30083703"/>
    <w:rsid w:val="30B065F1"/>
    <w:rsid w:val="30D33672"/>
    <w:rsid w:val="31B465BF"/>
    <w:rsid w:val="324F12EA"/>
    <w:rsid w:val="3293722E"/>
    <w:rsid w:val="32C52BDB"/>
    <w:rsid w:val="32DF3872"/>
    <w:rsid w:val="33CA31AC"/>
    <w:rsid w:val="3478194A"/>
    <w:rsid w:val="34AA0B8E"/>
    <w:rsid w:val="372E7509"/>
    <w:rsid w:val="37450E29"/>
    <w:rsid w:val="374F3C10"/>
    <w:rsid w:val="382878D1"/>
    <w:rsid w:val="38BE23B3"/>
    <w:rsid w:val="390D0B77"/>
    <w:rsid w:val="392D74C1"/>
    <w:rsid w:val="39526931"/>
    <w:rsid w:val="39B86936"/>
    <w:rsid w:val="39D43E47"/>
    <w:rsid w:val="3A1D51ED"/>
    <w:rsid w:val="3A6F3B82"/>
    <w:rsid w:val="3BC06716"/>
    <w:rsid w:val="3C101E1D"/>
    <w:rsid w:val="3CBE0B03"/>
    <w:rsid w:val="3CFB4694"/>
    <w:rsid w:val="3D2A6D47"/>
    <w:rsid w:val="3DD23A5E"/>
    <w:rsid w:val="3E4400F5"/>
    <w:rsid w:val="3E6247E6"/>
    <w:rsid w:val="3EAF3189"/>
    <w:rsid w:val="40594244"/>
    <w:rsid w:val="405974ED"/>
    <w:rsid w:val="40894863"/>
    <w:rsid w:val="411042E9"/>
    <w:rsid w:val="411A4074"/>
    <w:rsid w:val="41AD0908"/>
    <w:rsid w:val="41C103EB"/>
    <w:rsid w:val="42417EEF"/>
    <w:rsid w:val="42A95D5E"/>
    <w:rsid w:val="444D7E57"/>
    <w:rsid w:val="45B42446"/>
    <w:rsid w:val="46872267"/>
    <w:rsid w:val="46955A98"/>
    <w:rsid w:val="46E21E68"/>
    <w:rsid w:val="48805048"/>
    <w:rsid w:val="48902589"/>
    <w:rsid w:val="48C47C5D"/>
    <w:rsid w:val="48D9783D"/>
    <w:rsid w:val="4A0F796B"/>
    <w:rsid w:val="4B1D54F2"/>
    <w:rsid w:val="4BCF4AE4"/>
    <w:rsid w:val="4C8B5764"/>
    <w:rsid w:val="4CBE1385"/>
    <w:rsid w:val="4D6455A7"/>
    <w:rsid w:val="4D7759F0"/>
    <w:rsid w:val="4DE06BE0"/>
    <w:rsid w:val="4F07533B"/>
    <w:rsid w:val="4F761901"/>
    <w:rsid w:val="4FF3541A"/>
    <w:rsid w:val="5018490A"/>
    <w:rsid w:val="50353A8D"/>
    <w:rsid w:val="51E5686D"/>
    <w:rsid w:val="52016537"/>
    <w:rsid w:val="52095B99"/>
    <w:rsid w:val="521436B5"/>
    <w:rsid w:val="52662F59"/>
    <w:rsid w:val="527C1105"/>
    <w:rsid w:val="5285371A"/>
    <w:rsid w:val="52F940BE"/>
    <w:rsid w:val="5344243A"/>
    <w:rsid w:val="53FB0887"/>
    <w:rsid w:val="540F1D8B"/>
    <w:rsid w:val="54526913"/>
    <w:rsid w:val="55217F60"/>
    <w:rsid w:val="55F022D0"/>
    <w:rsid w:val="5604132B"/>
    <w:rsid w:val="565415A6"/>
    <w:rsid w:val="569B3B8C"/>
    <w:rsid w:val="569E42B1"/>
    <w:rsid w:val="56F856D4"/>
    <w:rsid w:val="57046416"/>
    <w:rsid w:val="575E44C6"/>
    <w:rsid w:val="5770569F"/>
    <w:rsid w:val="57E12809"/>
    <w:rsid w:val="58DD3D82"/>
    <w:rsid w:val="594B71D4"/>
    <w:rsid w:val="595A06D5"/>
    <w:rsid w:val="59901D1C"/>
    <w:rsid w:val="5B741FEE"/>
    <w:rsid w:val="5B8C1C22"/>
    <w:rsid w:val="5BFB4FA0"/>
    <w:rsid w:val="5C385758"/>
    <w:rsid w:val="5C6203CD"/>
    <w:rsid w:val="5E25735B"/>
    <w:rsid w:val="5EB15DE8"/>
    <w:rsid w:val="5F421365"/>
    <w:rsid w:val="5FB45C47"/>
    <w:rsid w:val="602B256C"/>
    <w:rsid w:val="60682E51"/>
    <w:rsid w:val="62503617"/>
    <w:rsid w:val="62971CE4"/>
    <w:rsid w:val="62B66F71"/>
    <w:rsid w:val="62BD22C2"/>
    <w:rsid w:val="63333AF2"/>
    <w:rsid w:val="638967D2"/>
    <w:rsid w:val="638F362C"/>
    <w:rsid w:val="63C8499E"/>
    <w:rsid w:val="64492A1D"/>
    <w:rsid w:val="649F23CB"/>
    <w:rsid w:val="64B7318C"/>
    <w:rsid w:val="65237A81"/>
    <w:rsid w:val="6541130E"/>
    <w:rsid w:val="66541803"/>
    <w:rsid w:val="671359F7"/>
    <w:rsid w:val="67A04E10"/>
    <w:rsid w:val="67BB18FC"/>
    <w:rsid w:val="67F30FF7"/>
    <w:rsid w:val="687D51B6"/>
    <w:rsid w:val="68B66316"/>
    <w:rsid w:val="6A445A76"/>
    <w:rsid w:val="6A481A71"/>
    <w:rsid w:val="6A84753A"/>
    <w:rsid w:val="6ADC1A57"/>
    <w:rsid w:val="6B80414A"/>
    <w:rsid w:val="6B9E3BE2"/>
    <w:rsid w:val="6BF929C0"/>
    <w:rsid w:val="6D1C145E"/>
    <w:rsid w:val="6DDA0661"/>
    <w:rsid w:val="6DE667B7"/>
    <w:rsid w:val="6E1E7CEC"/>
    <w:rsid w:val="6F6A425B"/>
    <w:rsid w:val="70CE77BA"/>
    <w:rsid w:val="71040D36"/>
    <w:rsid w:val="712D2431"/>
    <w:rsid w:val="71782140"/>
    <w:rsid w:val="71B2383D"/>
    <w:rsid w:val="72CE7AF4"/>
    <w:rsid w:val="73023C26"/>
    <w:rsid w:val="735A67AD"/>
    <w:rsid w:val="738C5D45"/>
    <w:rsid w:val="73E42746"/>
    <w:rsid w:val="74076EF7"/>
    <w:rsid w:val="747263FB"/>
    <w:rsid w:val="747D136C"/>
    <w:rsid w:val="74AD7F65"/>
    <w:rsid w:val="74B76166"/>
    <w:rsid w:val="74BB63D1"/>
    <w:rsid w:val="773732D7"/>
    <w:rsid w:val="77486716"/>
    <w:rsid w:val="783E0685"/>
    <w:rsid w:val="786B76CD"/>
    <w:rsid w:val="78CC21CE"/>
    <w:rsid w:val="79041626"/>
    <w:rsid w:val="794D544B"/>
    <w:rsid w:val="79621B1A"/>
    <w:rsid w:val="7A2149C9"/>
    <w:rsid w:val="7A927879"/>
    <w:rsid w:val="7A9B696C"/>
    <w:rsid w:val="7AD7775F"/>
    <w:rsid w:val="7B2D1068"/>
    <w:rsid w:val="7B9752F7"/>
    <w:rsid w:val="7BA211A3"/>
    <w:rsid w:val="7C2A5929"/>
    <w:rsid w:val="7C711887"/>
    <w:rsid w:val="7C990A1D"/>
    <w:rsid w:val="7C9F20CA"/>
    <w:rsid w:val="7D854AB6"/>
    <w:rsid w:val="7DC6034A"/>
    <w:rsid w:val="7E371926"/>
    <w:rsid w:val="7E3E09E2"/>
    <w:rsid w:val="7E9A48CA"/>
    <w:rsid w:val="7EA95466"/>
    <w:rsid w:val="7EEB4FC1"/>
    <w:rsid w:val="7F7F49ED"/>
    <w:rsid w:val="7FAF01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7">
    <w:name w:val="Table Paragraph"/>
    <w:basedOn w:val="1"/>
    <w:qFormat/>
    <w:uiPriority w:val="1"/>
    <w:rPr>
      <w:rFonts w:ascii="Arial Unicode MS" w:hAnsi="Arial Unicode MS" w:eastAsia="Arial Unicode MS" w:cs="Arial Unicode MS"/>
      <w:lang w:val="zh-CN" w:eastAsia="zh-CN" w:bidi="zh-CN"/>
    </w:rPr>
  </w:style>
  <w:style w:type="character" w:customStyle="1" w:styleId="8">
    <w:name w:val="font21"/>
    <w:basedOn w:val="4"/>
    <w:qFormat/>
    <w:uiPriority w:val="0"/>
    <w:rPr>
      <w:rFonts w:hint="eastAsia" w:ascii="宋体" w:hAnsi="宋体" w:eastAsia="宋体" w:cs="宋体"/>
      <w:color w:val="000000"/>
      <w:sz w:val="28"/>
      <w:szCs w:val="28"/>
      <w:u w:val="none"/>
    </w:rPr>
  </w:style>
  <w:style w:type="character" w:customStyle="1" w:styleId="9">
    <w:name w:val="font01"/>
    <w:basedOn w:val="4"/>
    <w:qFormat/>
    <w:uiPriority w:val="0"/>
    <w:rPr>
      <w:rFonts w:hint="eastAsia" w:ascii="宋体" w:hAnsi="宋体" w:eastAsia="宋体" w:cs="宋体"/>
      <w:color w:val="000000"/>
      <w:sz w:val="32"/>
      <w:szCs w:val="32"/>
      <w:u w:val="none"/>
    </w:rPr>
  </w:style>
  <w:style w:type="character" w:customStyle="1" w:styleId="10">
    <w:name w:val="font41"/>
    <w:basedOn w:val="4"/>
    <w:qFormat/>
    <w:uiPriority w:val="0"/>
    <w:rPr>
      <w:rFonts w:hint="eastAsia" w:ascii="宋体" w:hAnsi="宋体" w:eastAsia="宋体" w:cs="宋体"/>
      <w:color w:val="000000"/>
      <w:sz w:val="22"/>
      <w:szCs w:val="22"/>
      <w:u w:val="none"/>
    </w:rPr>
  </w:style>
  <w:style w:type="character" w:customStyle="1" w:styleId="11">
    <w:name w:val="font11"/>
    <w:basedOn w:val="4"/>
    <w:qFormat/>
    <w:uiPriority w:val="0"/>
    <w:rPr>
      <w:rFonts w:hint="eastAsia" w:ascii="宋体" w:hAnsi="宋体" w:eastAsia="宋体" w:cs="宋体"/>
      <w:color w:val="000000"/>
      <w:sz w:val="24"/>
      <w:szCs w:val="24"/>
      <w:u w:val="none"/>
    </w:rPr>
  </w:style>
  <w:style w:type="character" w:customStyle="1" w:styleId="12">
    <w:name w:val="font31"/>
    <w:basedOn w:val="4"/>
    <w:qFormat/>
    <w:uiPriority w:val="0"/>
    <w:rPr>
      <w:rFonts w:hint="eastAsia" w:ascii="宋体" w:hAnsi="宋体" w:eastAsia="宋体" w:cs="宋体"/>
      <w:color w:val="000000"/>
      <w:sz w:val="21"/>
      <w:szCs w:val="21"/>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3</TotalTime>
  <ScaleCrop>false</ScaleCrop>
  <LinksUpToDate>false</LinksUpToDate>
  <CharactersWithSpaces>0</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2020-03-21T08:11:00Z</dcterms:created>
  <dc:creator>赵俊锋</dc:creator>
  <cp:lastModifiedBy>赵俊锋</cp:lastModifiedBy>
  <cp:lastPrinted>2020-05-11T06:21:00Z</cp:lastPrinted>
  <dcterms:modified xsi:type="dcterms:W3CDTF">2020-05-11T08:05:14Z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