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黑体" w:hAnsi="黑体" w:eastAsia="黑体" w:cs="黑体"/>
          <w:lang w:val="en-US" w:eastAsia="zh-CN"/>
        </w:rPr>
      </w:pPr>
      <w:r>
        <w:rPr>
          <w:rFonts w:hint="eastAsia" w:ascii="黑体" w:hAnsi="黑体" w:eastAsia="黑体" w:cs="黑体"/>
          <w:lang w:eastAsia="zh-CN"/>
        </w:rPr>
        <w:t>附件</w:t>
      </w:r>
      <w:r>
        <w:rPr>
          <w:rFonts w:hint="eastAsia" w:ascii="黑体" w:hAnsi="黑体" w:eastAsia="黑体" w:cs="黑体"/>
          <w:lang w:val="en-US" w:eastAsia="zh-CN"/>
        </w:rPr>
        <w:t>2</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餐饮服务食品安全监督检查参考要点表</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ascii="楷体" w:hAnsi="楷体" w:eastAsia="楷体" w:cs="楷体"/>
          <w:lang w:val="en-US" w:eastAsia="zh-CN"/>
        </w:rPr>
      </w:pPr>
      <w:r>
        <w:rPr>
          <w:rFonts w:hint="eastAsia" w:ascii="楷体" w:hAnsi="楷体" w:eastAsia="楷体" w:cs="楷体"/>
          <w:lang w:val="en-US" w:eastAsia="zh-CN"/>
        </w:rPr>
        <w:t>（社会餐饮服务经营者）</w:t>
      </w:r>
    </w:p>
    <w:p>
      <w:pPr>
        <w:adjustRightInd w:val="0"/>
        <w:snapToGrid w:val="0"/>
        <w:spacing w:line="580" w:lineRule="exact"/>
        <w:jc w:val="center"/>
        <w:rPr>
          <w:rFonts w:ascii="黑体" w:hAnsi="黑体" w:eastAsia="黑体"/>
          <w:sz w:val="32"/>
          <w:szCs w:val="32"/>
        </w:rPr>
      </w:pPr>
      <w:r>
        <w:rPr>
          <w:rFonts w:hint="eastAsia" w:ascii="黑体" w:hAnsi="黑体" w:eastAsia="黑体"/>
          <w:sz w:val="32"/>
          <w:szCs w:val="32"/>
        </w:rPr>
        <w:t>告知页</w:t>
      </w:r>
    </w:p>
    <w:tbl>
      <w:tblPr>
        <w:tblStyle w:val="5"/>
        <w:tblW w:w="89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50" w:hRule="atLeast"/>
          <w:jc w:val="center"/>
        </w:trPr>
        <w:tc>
          <w:tcPr>
            <w:tcW w:w="8906" w:type="dxa"/>
            <w:vAlign w:val="top"/>
          </w:tcPr>
          <w:p>
            <w:pPr>
              <w:keepNext w:val="0"/>
              <w:keepLines w:val="0"/>
              <w:pageBreakBefore w:val="0"/>
              <w:widowControl/>
              <w:kinsoku/>
              <w:wordWrap/>
              <w:overflowPunct/>
              <w:topLinePunct w:val="0"/>
              <w:autoSpaceDE/>
              <w:autoSpaceDN/>
              <w:bidi w:val="0"/>
              <w:adjustRightInd w:val="0"/>
              <w:snapToGrid w:val="0"/>
              <w:spacing w:line="440" w:lineRule="exact"/>
              <w:jc w:val="left"/>
              <w:textAlignment w:val="auto"/>
              <w:outlineLvl w:val="9"/>
              <w:rPr>
                <w:rFonts w:ascii="宋体" w:hAnsi="宋体"/>
                <w:kern w:val="0"/>
                <w:sz w:val="24"/>
              </w:rPr>
            </w:pPr>
          </w:p>
          <w:p>
            <w:pPr>
              <w:keepNext w:val="0"/>
              <w:keepLines w:val="0"/>
              <w:pageBreakBefore w:val="0"/>
              <w:widowControl/>
              <w:kinsoku/>
              <w:wordWrap/>
              <w:overflowPunct/>
              <w:topLinePunct w:val="0"/>
              <w:autoSpaceDE/>
              <w:autoSpaceDN/>
              <w:bidi w:val="0"/>
              <w:adjustRightInd w:val="0"/>
              <w:snapToGrid w:val="0"/>
              <w:spacing w:line="440" w:lineRule="exact"/>
              <w:jc w:val="left"/>
              <w:textAlignment w:val="auto"/>
              <w:outlineLvl w:val="9"/>
              <w:rPr>
                <w:rFonts w:hint="eastAsia" w:ascii="仿宋" w:hAnsi="仿宋" w:eastAsia="仿宋" w:cs="仿宋"/>
                <w:kern w:val="0"/>
                <w:sz w:val="28"/>
                <w:szCs w:val="28"/>
                <w:lang w:val="en-US" w:eastAsia="zh-CN"/>
              </w:rPr>
            </w:pPr>
            <w:r>
              <w:rPr>
                <w:rFonts w:hint="eastAsia" w:ascii="仿宋" w:hAnsi="仿宋" w:eastAsia="仿宋" w:cs="仿宋"/>
                <w:kern w:val="0"/>
                <w:sz w:val="28"/>
                <w:szCs w:val="28"/>
              </w:rPr>
              <w:t>被检查单位：</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u w:val="single"/>
                <w:lang w:val="en-US" w:eastAsia="zh-CN"/>
              </w:rPr>
              <w:t xml:space="preserve">                              </w:t>
            </w:r>
          </w:p>
          <w:p>
            <w:pPr>
              <w:keepNext w:val="0"/>
              <w:keepLines w:val="0"/>
              <w:pageBreakBefore w:val="0"/>
              <w:widowControl/>
              <w:kinsoku/>
              <w:wordWrap/>
              <w:overflowPunct/>
              <w:topLinePunct w:val="0"/>
              <w:autoSpaceDE/>
              <w:autoSpaceDN/>
              <w:bidi w:val="0"/>
              <w:adjustRightInd w:val="0"/>
              <w:snapToGrid w:val="0"/>
              <w:spacing w:line="440" w:lineRule="exact"/>
              <w:jc w:val="left"/>
              <w:textAlignment w:val="auto"/>
              <w:outlineLvl w:val="9"/>
              <w:rPr>
                <w:rFonts w:hint="eastAsia" w:ascii="仿宋" w:hAnsi="仿宋" w:eastAsia="仿宋" w:cs="仿宋"/>
                <w:kern w:val="0"/>
                <w:sz w:val="28"/>
                <w:szCs w:val="28"/>
                <w:u w:val="single"/>
                <w:lang w:val="en-US" w:eastAsia="zh-CN"/>
              </w:rPr>
            </w:pPr>
            <w:r>
              <w:rPr>
                <w:rFonts w:hint="eastAsia" w:ascii="仿宋" w:hAnsi="仿宋" w:eastAsia="仿宋" w:cs="仿宋"/>
                <w:kern w:val="0"/>
                <w:sz w:val="28"/>
                <w:szCs w:val="28"/>
              </w:rPr>
              <w:t>地址：</w:t>
            </w:r>
            <w:r>
              <w:rPr>
                <w:rFonts w:hint="eastAsia" w:ascii="仿宋" w:hAnsi="仿宋" w:eastAsia="仿宋" w:cs="仿宋"/>
                <w:kern w:val="0"/>
                <w:sz w:val="28"/>
                <w:szCs w:val="28"/>
                <w:u w:val="single"/>
                <w:lang w:val="en-US" w:eastAsia="zh-CN"/>
              </w:rPr>
              <w:t xml:space="preserve">                                       </w:t>
            </w:r>
          </w:p>
          <w:p>
            <w:pPr>
              <w:keepNext w:val="0"/>
              <w:keepLines w:val="0"/>
              <w:pageBreakBefore w:val="0"/>
              <w:widowControl/>
              <w:kinsoku/>
              <w:wordWrap/>
              <w:overflowPunct/>
              <w:topLinePunct w:val="0"/>
              <w:autoSpaceDE/>
              <w:autoSpaceDN/>
              <w:bidi w:val="0"/>
              <w:adjustRightInd w:val="0"/>
              <w:snapToGrid w:val="0"/>
              <w:spacing w:line="440" w:lineRule="exact"/>
              <w:jc w:val="left"/>
              <w:textAlignment w:val="auto"/>
              <w:outlineLvl w:val="9"/>
              <w:rPr>
                <w:rFonts w:hint="eastAsia" w:ascii="仿宋" w:hAnsi="仿宋" w:eastAsia="仿宋" w:cs="仿宋"/>
                <w:kern w:val="0"/>
                <w:sz w:val="28"/>
                <w:szCs w:val="28"/>
                <w:u w:val="single"/>
                <w:lang w:val="en-US" w:eastAsia="zh-CN"/>
              </w:rPr>
            </w:pPr>
            <w:r>
              <w:rPr>
                <w:rFonts w:hint="eastAsia" w:ascii="仿宋" w:hAnsi="仿宋" w:eastAsia="仿宋" w:cs="仿宋"/>
                <w:kern w:val="0"/>
                <w:sz w:val="28"/>
                <w:szCs w:val="28"/>
              </w:rPr>
              <w:t>检查人员</w:t>
            </w:r>
            <w:r>
              <w:rPr>
                <w:rFonts w:hint="eastAsia" w:ascii="仿宋" w:hAnsi="仿宋" w:eastAsia="仿宋" w:cs="仿宋"/>
                <w:kern w:val="0"/>
                <w:sz w:val="28"/>
                <w:szCs w:val="28"/>
                <w:lang w:eastAsia="zh-CN"/>
              </w:rPr>
              <w:t>：</w:t>
            </w:r>
            <w:r>
              <w:rPr>
                <w:rFonts w:hint="eastAsia" w:ascii="仿宋" w:hAnsi="仿宋" w:eastAsia="仿宋" w:cs="仿宋"/>
                <w:kern w:val="0"/>
                <w:sz w:val="28"/>
                <w:szCs w:val="28"/>
                <w:lang w:val="en-US" w:eastAsia="zh-CN"/>
              </w:rPr>
              <w:t>1.</w:t>
            </w:r>
            <w:r>
              <w:rPr>
                <w:rFonts w:hint="eastAsia" w:ascii="仿宋" w:hAnsi="仿宋" w:eastAsia="仿宋" w:cs="仿宋"/>
                <w:kern w:val="0"/>
                <w:sz w:val="28"/>
                <w:szCs w:val="28"/>
                <w:lang w:eastAsia="zh-CN"/>
              </w:rPr>
              <w:t>姓名</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执法证件编号</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lang w:val="en-US" w:eastAsia="zh-CN"/>
              </w:rPr>
              <w:t xml:space="preserve"> </w:t>
            </w:r>
          </w:p>
          <w:p>
            <w:pPr>
              <w:keepNext w:val="0"/>
              <w:keepLines w:val="0"/>
              <w:pageBreakBefore w:val="0"/>
              <w:widowControl/>
              <w:kinsoku/>
              <w:wordWrap/>
              <w:overflowPunct/>
              <w:topLinePunct w:val="0"/>
              <w:autoSpaceDE/>
              <w:autoSpaceDN/>
              <w:bidi w:val="0"/>
              <w:adjustRightInd w:val="0"/>
              <w:snapToGrid w:val="0"/>
              <w:spacing w:line="440" w:lineRule="exact"/>
              <w:ind w:firstLine="1415" w:firstLineChars="500"/>
              <w:jc w:val="left"/>
              <w:textAlignment w:val="auto"/>
              <w:outlineLvl w:val="9"/>
              <w:rPr>
                <w:rFonts w:hint="eastAsia" w:ascii="仿宋" w:hAnsi="仿宋" w:eastAsia="仿宋" w:cs="仿宋"/>
                <w:kern w:val="0"/>
                <w:sz w:val="28"/>
                <w:szCs w:val="28"/>
              </w:rPr>
            </w:pP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lang w:eastAsia="zh-CN"/>
              </w:rPr>
              <w:t>姓名</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执法证件编号</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lang w:val="en-US" w:eastAsia="zh-CN"/>
              </w:rPr>
              <w:t xml:space="preserve"> </w:t>
            </w:r>
          </w:p>
          <w:p>
            <w:pPr>
              <w:keepNext w:val="0"/>
              <w:keepLines w:val="0"/>
              <w:pageBreakBefore w:val="0"/>
              <w:widowControl/>
              <w:kinsoku/>
              <w:wordWrap/>
              <w:overflowPunct/>
              <w:topLinePunct w:val="0"/>
              <w:autoSpaceDE/>
              <w:autoSpaceDN/>
              <w:bidi w:val="0"/>
              <w:adjustRightInd w:val="0"/>
              <w:snapToGrid w:val="0"/>
              <w:spacing w:line="440" w:lineRule="exact"/>
              <w:jc w:val="left"/>
              <w:textAlignment w:val="auto"/>
              <w:outlineLvl w:val="9"/>
              <w:rPr>
                <w:rFonts w:hint="eastAsia" w:ascii="仿宋" w:hAnsi="仿宋" w:eastAsia="仿宋" w:cs="仿宋"/>
                <w:kern w:val="0"/>
                <w:sz w:val="28"/>
                <w:szCs w:val="28"/>
              </w:rPr>
            </w:pPr>
            <w:r>
              <w:rPr>
                <w:rFonts w:hint="eastAsia" w:ascii="仿宋" w:hAnsi="仿宋" w:eastAsia="仿宋" w:cs="仿宋"/>
                <w:kern w:val="0"/>
                <w:sz w:val="28"/>
                <w:szCs w:val="28"/>
              </w:rPr>
              <w:t>检查时间：</w:t>
            </w:r>
            <w:r>
              <w:rPr>
                <w:rFonts w:hint="eastAsia" w:ascii="仿宋" w:hAnsi="仿宋" w:eastAsia="仿宋" w:cs="仿宋"/>
                <w:kern w:val="0"/>
                <w:sz w:val="28"/>
                <w:szCs w:val="28"/>
                <w:lang w:val="en-US" w:eastAsia="zh-CN"/>
              </w:rPr>
              <w:t>20</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rPr>
              <w:t>年</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rPr>
              <w:t>月</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rPr>
              <w:t>日</w:t>
            </w:r>
          </w:p>
          <w:p>
            <w:pPr>
              <w:keepNext w:val="0"/>
              <w:keepLines w:val="0"/>
              <w:pageBreakBefore w:val="0"/>
              <w:widowControl/>
              <w:kinsoku/>
              <w:wordWrap/>
              <w:overflowPunct/>
              <w:topLinePunct w:val="0"/>
              <w:autoSpaceDE/>
              <w:autoSpaceDN/>
              <w:bidi w:val="0"/>
              <w:adjustRightInd w:val="0"/>
              <w:snapToGrid w:val="0"/>
              <w:spacing w:line="440" w:lineRule="exact"/>
              <w:jc w:val="left"/>
              <w:textAlignment w:val="auto"/>
              <w:outlineLvl w:val="9"/>
              <w:rPr>
                <w:rFonts w:hint="eastAsia" w:ascii="仿宋" w:hAnsi="仿宋" w:eastAsia="仿宋" w:cs="仿宋"/>
                <w:kern w:val="0"/>
                <w:sz w:val="28"/>
                <w:szCs w:val="28"/>
              </w:rPr>
            </w:pPr>
            <w:r>
              <w:rPr>
                <w:rFonts w:hint="eastAsia" w:ascii="仿宋" w:hAnsi="仿宋" w:eastAsia="仿宋" w:cs="仿宋"/>
                <w:kern w:val="0"/>
                <w:sz w:val="28"/>
                <w:szCs w:val="28"/>
              </w:rPr>
              <w:t>告知事项：</w:t>
            </w:r>
          </w:p>
          <w:p>
            <w:pPr>
              <w:keepNext w:val="0"/>
              <w:keepLines w:val="0"/>
              <w:pageBreakBefore w:val="0"/>
              <w:widowControl/>
              <w:kinsoku/>
              <w:wordWrap/>
              <w:overflowPunct/>
              <w:topLinePunct w:val="0"/>
              <w:autoSpaceDE/>
              <w:autoSpaceDN/>
              <w:bidi w:val="0"/>
              <w:adjustRightInd w:val="0"/>
              <w:snapToGrid w:val="0"/>
              <w:spacing w:line="440" w:lineRule="exact"/>
              <w:ind w:firstLine="566" w:firstLineChars="200"/>
              <w:jc w:val="left"/>
              <w:textAlignment w:val="auto"/>
              <w:outlineLvl w:val="9"/>
              <w:rPr>
                <w:rFonts w:hint="eastAsia" w:ascii="仿宋" w:hAnsi="仿宋" w:eastAsia="仿宋" w:cs="仿宋"/>
                <w:bCs/>
                <w:sz w:val="28"/>
                <w:szCs w:val="28"/>
              </w:rPr>
            </w:pPr>
            <w:r>
              <w:rPr>
                <w:rFonts w:hint="eastAsia" w:ascii="仿宋" w:hAnsi="仿宋" w:eastAsia="仿宋" w:cs="仿宋"/>
                <w:kern w:val="0"/>
                <w:sz w:val="28"/>
                <w:szCs w:val="28"/>
              </w:rPr>
              <w:t>我们是</w:t>
            </w:r>
            <w:r>
              <w:rPr>
                <w:rFonts w:hint="eastAsia" w:ascii="仿宋" w:hAnsi="仿宋" w:eastAsia="仿宋" w:cs="仿宋"/>
                <w:kern w:val="0"/>
                <w:sz w:val="28"/>
                <w:szCs w:val="28"/>
                <w:lang w:eastAsia="zh-CN"/>
              </w:rPr>
              <w:t>河北省</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lang w:val="en-US" w:eastAsia="zh-CN"/>
              </w:rPr>
              <w:t>市场监督管理局</w:t>
            </w:r>
            <w:r>
              <w:rPr>
                <w:rFonts w:hint="eastAsia" w:ascii="仿宋" w:hAnsi="仿宋" w:eastAsia="仿宋" w:cs="仿宋"/>
                <w:kern w:val="0"/>
                <w:sz w:val="28"/>
                <w:szCs w:val="28"/>
              </w:rPr>
              <w:t>监督检查人员，</w:t>
            </w:r>
            <w:r>
              <w:rPr>
                <w:rFonts w:hint="eastAsia" w:ascii="仿宋" w:hAnsi="仿宋" w:eastAsia="仿宋" w:cs="仿宋"/>
                <w:bCs/>
                <w:sz w:val="28"/>
                <w:szCs w:val="28"/>
              </w:rPr>
              <w:t>现出示</w:t>
            </w:r>
            <w:r>
              <w:rPr>
                <w:rFonts w:hint="eastAsia" w:ascii="仿宋" w:hAnsi="仿宋" w:eastAsia="仿宋" w:cs="仿宋"/>
                <w:kern w:val="0"/>
                <w:sz w:val="28"/>
                <w:szCs w:val="28"/>
              </w:rPr>
              <w:t>执法证件。</w:t>
            </w:r>
            <w:r>
              <w:rPr>
                <w:rFonts w:hint="eastAsia" w:ascii="仿宋" w:hAnsi="仿宋" w:eastAsia="仿宋" w:cs="仿宋"/>
                <w:bCs/>
                <w:sz w:val="28"/>
                <w:szCs w:val="28"/>
              </w:rPr>
              <w:t>我们依法对你单位进行日常监督检查，请予配合。</w:t>
            </w:r>
          </w:p>
          <w:p>
            <w:pPr>
              <w:keepNext w:val="0"/>
              <w:keepLines w:val="0"/>
              <w:pageBreakBefore w:val="0"/>
              <w:widowControl/>
              <w:kinsoku/>
              <w:wordWrap/>
              <w:overflowPunct/>
              <w:topLinePunct w:val="0"/>
              <w:autoSpaceDE/>
              <w:autoSpaceDN/>
              <w:bidi w:val="0"/>
              <w:adjustRightInd w:val="0"/>
              <w:snapToGrid w:val="0"/>
              <w:spacing w:line="440" w:lineRule="exact"/>
              <w:ind w:firstLine="566" w:firstLineChars="200"/>
              <w:jc w:val="left"/>
              <w:textAlignment w:val="auto"/>
              <w:outlineLvl w:val="9"/>
              <w:rPr>
                <w:rFonts w:hint="eastAsia" w:ascii="仿宋" w:hAnsi="仿宋" w:eastAsia="仿宋" w:cs="仿宋"/>
                <w:bCs/>
                <w:sz w:val="28"/>
                <w:szCs w:val="28"/>
              </w:rPr>
            </w:pPr>
            <w:r>
              <w:rPr>
                <w:rFonts w:hint="eastAsia" w:ascii="仿宋" w:hAnsi="仿宋" w:eastAsia="仿宋" w:cs="仿宋"/>
                <w:sz w:val="28"/>
                <w:szCs w:val="28"/>
              </w:rPr>
              <w:t>依照法律规定，监督检查</w:t>
            </w:r>
            <w:r>
              <w:rPr>
                <w:rFonts w:hint="eastAsia" w:ascii="仿宋" w:hAnsi="仿宋" w:eastAsia="仿宋" w:cs="仿宋"/>
                <w:kern w:val="0"/>
                <w:sz w:val="28"/>
                <w:szCs w:val="28"/>
              </w:rPr>
              <w:t>人员少于两人或者所出示的执法证件与其身份不符的，</w:t>
            </w:r>
            <w:r>
              <w:rPr>
                <w:rFonts w:hint="eastAsia" w:ascii="仿宋" w:hAnsi="仿宋" w:eastAsia="仿宋" w:cs="仿宋"/>
                <w:sz w:val="28"/>
                <w:szCs w:val="28"/>
              </w:rPr>
              <w:t>你单位</w:t>
            </w:r>
            <w:r>
              <w:rPr>
                <w:rFonts w:hint="eastAsia" w:ascii="仿宋" w:hAnsi="仿宋" w:eastAsia="仿宋" w:cs="仿宋"/>
                <w:kern w:val="0"/>
                <w:sz w:val="28"/>
                <w:szCs w:val="28"/>
              </w:rPr>
              <w:t>有权拒绝检查；</w:t>
            </w:r>
            <w:r>
              <w:rPr>
                <w:rFonts w:hint="eastAsia" w:ascii="仿宋" w:hAnsi="仿宋" w:eastAsia="仿宋" w:cs="仿宋"/>
                <w:sz w:val="28"/>
                <w:szCs w:val="28"/>
              </w:rPr>
              <w:t>监督检查人员有下列情形之一的，你单位有权申请回避：（1）系当事人或当事人的近亲属；（2）与</w:t>
            </w:r>
            <w:r>
              <w:rPr>
                <w:rFonts w:hint="eastAsia" w:ascii="仿宋" w:hAnsi="仿宋" w:eastAsia="仿宋" w:cs="仿宋"/>
                <w:sz w:val="28"/>
                <w:szCs w:val="28"/>
                <w:lang w:eastAsia="zh-CN"/>
              </w:rPr>
              <w:t>当事</w:t>
            </w:r>
            <w:r>
              <w:rPr>
                <w:rFonts w:hint="eastAsia" w:ascii="仿宋" w:hAnsi="仿宋" w:eastAsia="仿宋" w:cs="仿宋"/>
                <w:sz w:val="28"/>
                <w:szCs w:val="28"/>
              </w:rPr>
              <w:t>人或</w:t>
            </w:r>
            <w:r>
              <w:rPr>
                <w:rFonts w:hint="eastAsia" w:ascii="仿宋" w:hAnsi="仿宋" w:eastAsia="仿宋" w:cs="仿宋"/>
                <w:sz w:val="28"/>
                <w:szCs w:val="28"/>
                <w:lang w:eastAsia="zh-CN"/>
              </w:rPr>
              <w:t>当事人</w:t>
            </w:r>
            <w:r>
              <w:rPr>
                <w:rFonts w:hint="eastAsia" w:ascii="仿宋" w:hAnsi="仿宋" w:eastAsia="仿宋" w:cs="仿宋"/>
                <w:sz w:val="28"/>
                <w:szCs w:val="28"/>
              </w:rPr>
              <w:t>近亲属有利害关系；（3）与当事人有其他关系，可能影响公正执法的</w:t>
            </w:r>
            <w:r>
              <w:rPr>
                <w:rFonts w:hint="eastAsia" w:ascii="仿宋" w:hAnsi="仿宋" w:eastAsia="仿宋" w:cs="仿宋"/>
                <w:kern w:val="0"/>
                <w:sz w:val="28"/>
                <w:szCs w:val="28"/>
              </w:rPr>
              <w:t>。</w:t>
            </w:r>
          </w:p>
          <w:p>
            <w:pPr>
              <w:keepNext w:val="0"/>
              <w:keepLines w:val="0"/>
              <w:pageBreakBefore w:val="0"/>
              <w:widowControl/>
              <w:kinsoku/>
              <w:wordWrap/>
              <w:overflowPunct/>
              <w:topLinePunct w:val="0"/>
              <w:autoSpaceDE/>
              <w:autoSpaceDN/>
              <w:bidi w:val="0"/>
              <w:adjustRightInd w:val="0"/>
              <w:snapToGrid w:val="0"/>
              <w:spacing w:line="440" w:lineRule="exact"/>
              <w:ind w:firstLine="566" w:firstLineChars="200"/>
              <w:jc w:val="left"/>
              <w:textAlignment w:val="auto"/>
              <w:outlineLvl w:val="9"/>
              <w:rPr>
                <w:rFonts w:hint="eastAsia" w:ascii="仿宋" w:hAnsi="仿宋" w:eastAsia="仿宋" w:cs="仿宋"/>
                <w:bCs/>
                <w:kern w:val="0"/>
                <w:sz w:val="28"/>
                <w:szCs w:val="28"/>
              </w:rPr>
            </w:pPr>
            <w:r>
              <w:rPr>
                <w:rFonts w:hint="eastAsia" w:ascii="仿宋" w:hAnsi="仿宋" w:eastAsia="仿宋" w:cs="仿宋"/>
                <w:bCs/>
                <w:kern w:val="0"/>
                <w:sz w:val="28"/>
                <w:szCs w:val="28"/>
              </w:rPr>
              <w:t>问：你单位是否申请回避？</w:t>
            </w:r>
          </w:p>
          <w:p>
            <w:pPr>
              <w:keepNext w:val="0"/>
              <w:keepLines w:val="0"/>
              <w:pageBreakBefore w:val="0"/>
              <w:widowControl/>
              <w:kinsoku/>
              <w:wordWrap/>
              <w:overflowPunct/>
              <w:topLinePunct w:val="0"/>
              <w:autoSpaceDE/>
              <w:autoSpaceDN/>
              <w:bidi w:val="0"/>
              <w:adjustRightInd w:val="0"/>
              <w:snapToGrid w:val="0"/>
              <w:spacing w:line="440" w:lineRule="exact"/>
              <w:ind w:firstLine="566" w:firstLineChars="200"/>
              <w:jc w:val="left"/>
              <w:textAlignment w:val="auto"/>
              <w:outlineLvl w:val="9"/>
              <w:rPr>
                <w:rFonts w:hint="eastAsia" w:ascii="仿宋" w:hAnsi="仿宋" w:eastAsia="仿宋" w:cs="仿宋"/>
                <w:bCs/>
                <w:kern w:val="0"/>
                <w:sz w:val="28"/>
                <w:szCs w:val="28"/>
                <w:lang w:val="en-US" w:eastAsia="zh-CN"/>
              </w:rPr>
            </w:pPr>
            <w:r>
              <w:rPr>
                <w:rFonts w:hint="eastAsia" w:ascii="仿宋" w:hAnsi="仿宋" w:eastAsia="仿宋" w:cs="仿宋"/>
                <w:bCs/>
                <w:kern w:val="0"/>
                <w:sz w:val="28"/>
                <w:szCs w:val="28"/>
              </w:rPr>
              <w:t>答：</w:t>
            </w:r>
            <w:r>
              <w:rPr>
                <w:rFonts w:hint="eastAsia" w:ascii="仿宋" w:hAnsi="仿宋" w:eastAsia="仿宋" w:cs="仿宋"/>
                <w:bCs/>
                <w:kern w:val="0"/>
                <w:sz w:val="28"/>
                <w:szCs w:val="28"/>
                <w:lang w:eastAsia="zh-CN"/>
              </w:rPr>
              <w:t>是</w:t>
            </w:r>
            <w:r>
              <w:rPr>
                <w:rFonts w:hint="eastAsia" w:ascii="仿宋" w:hAnsi="仿宋" w:eastAsia="仿宋" w:cs="仿宋"/>
                <w:bCs/>
                <w:kern w:val="0"/>
                <w:sz w:val="28"/>
                <w:szCs w:val="28"/>
                <w:lang w:val="en-US" w:eastAsia="zh-CN"/>
              </w:rPr>
              <w:t>□   否□</w:t>
            </w:r>
          </w:p>
          <w:p>
            <w:pPr>
              <w:keepNext w:val="0"/>
              <w:keepLines w:val="0"/>
              <w:pageBreakBefore w:val="0"/>
              <w:widowControl/>
              <w:kinsoku/>
              <w:wordWrap/>
              <w:overflowPunct/>
              <w:topLinePunct w:val="0"/>
              <w:autoSpaceDE/>
              <w:autoSpaceDN/>
              <w:bidi w:val="0"/>
              <w:adjustRightInd w:val="0"/>
              <w:snapToGrid w:val="0"/>
              <w:spacing w:line="440" w:lineRule="exact"/>
              <w:jc w:val="left"/>
              <w:textAlignment w:val="auto"/>
              <w:outlineLvl w:val="9"/>
              <w:rPr>
                <w:rFonts w:hint="eastAsia" w:ascii="仿宋" w:hAnsi="仿宋" w:eastAsia="仿宋" w:cs="仿宋"/>
                <w:kern w:val="0"/>
                <w:sz w:val="28"/>
                <w:szCs w:val="28"/>
              </w:rPr>
            </w:pPr>
          </w:p>
          <w:p>
            <w:pPr>
              <w:keepNext w:val="0"/>
              <w:keepLines w:val="0"/>
              <w:pageBreakBefore w:val="0"/>
              <w:tabs>
                <w:tab w:val="left" w:pos="795"/>
              </w:tabs>
              <w:kinsoku/>
              <w:wordWrap/>
              <w:overflowPunct/>
              <w:topLinePunct w:val="0"/>
              <w:autoSpaceDE/>
              <w:autoSpaceDN/>
              <w:bidi w:val="0"/>
              <w:adjustRightInd w:val="0"/>
              <w:snapToGrid w:val="0"/>
              <w:spacing w:line="440" w:lineRule="exact"/>
              <w:textAlignment w:val="auto"/>
              <w:outlineLvl w:val="9"/>
              <w:rPr>
                <w:rFonts w:hint="eastAsia" w:ascii="仿宋" w:hAnsi="仿宋" w:eastAsia="仿宋" w:cs="仿宋"/>
                <w:sz w:val="28"/>
                <w:szCs w:val="28"/>
              </w:rPr>
            </w:pPr>
            <w:r>
              <w:rPr>
                <w:rFonts w:hint="eastAsia" w:ascii="仿宋" w:hAnsi="仿宋" w:eastAsia="仿宋" w:cs="仿宋"/>
                <w:sz w:val="28"/>
                <w:szCs w:val="28"/>
              </w:rPr>
              <w:t>被检查单位签字：</w:t>
            </w:r>
          </w:p>
          <w:p>
            <w:pPr>
              <w:keepNext w:val="0"/>
              <w:keepLines w:val="0"/>
              <w:pageBreakBefore w:val="0"/>
              <w:tabs>
                <w:tab w:val="left" w:pos="795"/>
              </w:tabs>
              <w:kinsoku/>
              <w:wordWrap/>
              <w:overflowPunct/>
              <w:topLinePunct w:val="0"/>
              <w:autoSpaceDE/>
              <w:autoSpaceDN/>
              <w:bidi w:val="0"/>
              <w:adjustRightInd w:val="0"/>
              <w:snapToGrid w:val="0"/>
              <w:spacing w:line="440" w:lineRule="exact"/>
              <w:textAlignment w:val="auto"/>
              <w:outlineLvl w:val="9"/>
              <w:rPr>
                <w:rFonts w:hint="eastAsia" w:ascii="仿宋" w:hAnsi="仿宋" w:eastAsia="仿宋" w:cs="仿宋"/>
                <w:sz w:val="28"/>
                <w:szCs w:val="28"/>
              </w:rPr>
            </w:pPr>
          </w:p>
          <w:p>
            <w:pPr>
              <w:keepNext w:val="0"/>
              <w:keepLines w:val="0"/>
              <w:pageBreakBefore w:val="0"/>
              <w:tabs>
                <w:tab w:val="left" w:pos="795"/>
              </w:tabs>
              <w:kinsoku/>
              <w:wordWrap/>
              <w:overflowPunct/>
              <w:topLinePunct w:val="0"/>
              <w:autoSpaceDE/>
              <w:autoSpaceDN/>
              <w:bidi w:val="0"/>
              <w:adjustRightInd w:val="0"/>
              <w:snapToGrid w:val="0"/>
              <w:spacing w:line="440" w:lineRule="exact"/>
              <w:textAlignment w:val="auto"/>
              <w:outlineLvl w:val="9"/>
              <w:rPr>
                <w:rFonts w:hint="eastAsia" w:ascii="仿宋" w:hAnsi="仿宋" w:eastAsia="仿宋" w:cs="仿宋"/>
                <w:sz w:val="28"/>
                <w:szCs w:val="28"/>
              </w:rPr>
            </w:pPr>
          </w:p>
          <w:p>
            <w:pPr>
              <w:keepNext w:val="0"/>
              <w:keepLines w:val="0"/>
              <w:pageBreakBefore w:val="0"/>
              <w:tabs>
                <w:tab w:val="left" w:pos="795"/>
              </w:tabs>
              <w:kinsoku/>
              <w:wordWrap/>
              <w:overflowPunct/>
              <w:topLinePunct w:val="0"/>
              <w:autoSpaceDE/>
              <w:autoSpaceDN/>
              <w:bidi w:val="0"/>
              <w:adjustRightInd w:val="0"/>
              <w:snapToGrid w:val="0"/>
              <w:spacing w:line="440" w:lineRule="exact"/>
              <w:textAlignment w:val="auto"/>
              <w:outlineLvl w:val="9"/>
              <w:rPr>
                <w:rFonts w:hint="eastAsia" w:ascii="仿宋" w:hAnsi="仿宋" w:eastAsia="仿宋" w:cs="仿宋"/>
                <w:sz w:val="28"/>
                <w:szCs w:val="28"/>
              </w:rPr>
            </w:pPr>
            <w:r>
              <w:rPr>
                <w:rFonts w:hint="eastAsia" w:ascii="仿宋" w:hAnsi="仿宋" w:eastAsia="仿宋" w:cs="仿宋"/>
                <w:sz w:val="28"/>
                <w:szCs w:val="28"/>
              </w:rPr>
              <w:t>检查人员签字：</w:t>
            </w:r>
          </w:p>
          <w:p>
            <w:pPr>
              <w:keepNext w:val="0"/>
              <w:keepLines w:val="0"/>
              <w:pageBreakBefore w:val="0"/>
              <w:tabs>
                <w:tab w:val="left" w:pos="795"/>
              </w:tabs>
              <w:kinsoku/>
              <w:wordWrap/>
              <w:overflowPunct/>
              <w:topLinePunct w:val="0"/>
              <w:autoSpaceDE/>
              <w:autoSpaceDN/>
              <w:bidi w:val="0"/>
              <w:adjustRightInd w:val="0"/>
              <w:snapToGrid w:val="0"/>
              <w:spacing w:line="440" w:lineRule="exact"/>
              <w:textAlignment w:val="auto"/>
              <w:outlineLvl w:val="9"/>
              <w:rPr>
                <w:rFonts w:hint="eastAsia" w:ascii="仿宋" w:hAnsi="仿宋" w:eastAsia="仿宋" w:cs="仿宋"/>
                <w:sz w:val="28"/>
                <w:szCs w:val="28"/>
              </w:rPr>
            </w:pPr>
          </w:p>
          <w:p>
            <w:pPr>
              <w:keepNext w:val="0"/>
              <w:keepLines w:val="0"/>
              <w:pageBreakBefore w:val="0"/>
              <w:widowControl/>
              <w:kinsoku/>
              <w:wordWrap/>
              <w:overflowPunct/>
              <w:topLinePunct w:val="0"/>
              <w:autoSpaceDE/>
              <w:autoSpaceDN/>
              <w:bidi w:val="0"/>
              <w:adjustRightInd w:val="0"/>
              <w:snapToGrid w:val="0"/>
              <w:spacing w:line="440" w:lineRule="exact"/>
              <w:jc w:val="left"/>
              <w:textAlignment w:val="auto"/>
              <w:outlineLvl w:val="9"/>
              <w:rPr>
                <w:rFonts w:hint="eastAsia" w:ascii="仿宋" w:hAnsi="仿宋" w:eastAsia="仿宋" w:cs="仿宋"/>
                <w:kern w:val="0"/>
                <w:sz w:val="28"/>
                <w:szCs w:val="28"/>
              </w:rPr>
            </w:pPr>
            <w:r>
              <w:rPr>
                <w:rFonts w:hint="eastAsia" w:ascii="仿宋" w:hAnsi="仿宋" w:eastAsia="仿宋" w:cs="仿宋"/>
                <w:kern w:val="0"/>
                <w:sz w:val="28"/>
                <w:szCs w:val="28"/>
              </w:rPr>
              <w:t xml:space="preserve">                                          </w:t>
            </w:r>
            <w:r>
              <w:rPr>
                <w:rFonts w:hint="eastAsia" w:ascii="仿宋" w:hAnsi="仿宋" w:eastAsia="仿宋" w:cs="仿宋"/>
                <w:kern w:val="0"/>
                <w:sz w:val="28"/>
                <w:szCs w:val="28"/>
                <w:lang w:val="en-US" w:eastAsia="zh-CN"/>
              </w:rPr>
              <w:t>20</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年</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月</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日</w:t>
            </w:r>
          </w:p>
          <w:p>
            <w:pPr>
              <w:widowControl/>
              <w:adjustRightInd w:val="0"/>
              <w:snapToGrid w:val="0"/>
              <w:spacing w:line="400" w:lineRule="exact"/>
              <w:jc w:val="left"/>
              <w:rPr>
                <w:rFonts w:hint="eastAsia" w:ascii="仿宋" w:hAnsi="仿宋" w:eastAsia="仿宋" w:cs="仿宋"/>
                <w:kern w:val="0"/>
                <w:sz w:val="28"/>
                <w:szCs w:val="28"/>
              </w:rPr>
            </w:pPr>
          </w:p>
        </w:tc>
      </w:tr>
    </w:tbl>
    <w:p>
      <w:pPr>
        <w:keepNext w:val="0"/>
        <w:keepLines w:val="0"/>
        <w:pageBreakBefore w:val="0"/>
        <w:widowControl w:val="0"/>
        <w:kinsoku/>
        <w:wordWrap/>
        <w:overflowPunct/>
        <w:topLinePunct w:val="0"/>
        <w:autoSpaceDE/>
        <w:autoSpaceDN/>
        <w:bidi w:val="0"/>
        <w:adjustRightInd/>
        <w:snapToGrid/>
        <w:spacing w:line="440" w:lineRule="exact"/>
        <w:jc w:val="both"/>
        <w:textAlignment w:val="auto"/>
        <w:outlineLvl w:val="9"/>
        <w:rPr>
          <w:rFonts w:hint="eastAsia" w:ascii="楷体" w:hAnsi="楷体" w:eastAsia="楷体" w:cs="楷体"/>
          <w:lang w:val="en-US" w:eastAsia="zh-CN"/>
        </w:rPr>
      </w:pPr>
    </w:p>
    <w:tbl>
      <w:tblPr>
        <w:tblStyle w:val="5"/>
        <w:tblW w:w="8850" w:type="dxa"/>
        <w:jc w:val="center"/>
        <w:tblInd w:w="1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660"/>
        <w:gridCol w:w="400"/>
        <w:gridCol w:w="600"/>
        <w:gridCol w:w="550"/>
        <w:gridCol w:w="4260"/>
        <w:gridCol w:w="1180"/>
        <w:gridCol w:w="400"/>
        <w:gridCol w:w="400"/>
        <w:gridCol w:w="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0" w:type="dxa"/>
            <w:bottom w:w="0" w:type="dxa"/>
            <w:right w:w="0" w:type="dxa"/>
          </w:tblCellMar>
        </w:tblPrEx>
        <w:trPr>
          <w:trHeight w:val="90" w:hRule="atLeast"/>
          <w:jc w:val="center"/>
        </w:trPr>
        <w:tc>
          <w:tcPr>
            <w:tcW w:w="660" w:type="dxa"/>
            <w:tcBorders>
              <w:top w:val="single" w:color="auto" w:sz="8"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重点检查点位</w:t>
            </w:r>
          </w:p>
        </w:tc>
        <w:tc>
          <w:tcPr>
            <w:tcW w:w="400" w:type="dxa"/>
            <w:tcBorders>
              <w:top w:val="single" w:color="auto" w:sz="8"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项目序号</w:t>
            </w:r>
          </w:p>
        </w:tc>
        <w:tc>
          <w:tcPr>
            <w:tcW w:w="600" w:type="dxa"/>
            <w:tcBorders>
              <w:top w:val="single" w:color="auto" w:sz="8"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项目</w:t>
            </w:r>
            <w:r>
              <w:rPr>
                <w:rFonts w:hint="eastAsia" w:ascii="黑体" w:hAnsi="宋体" w:eastAsia="黑体" w:cs="黑体"/>
                <w:i w:val="0"/>
                <w:color w:val="000000"/>
                <w:kern w:val="0"/>
                <w:sz w:val="24"/>
                <w:szCs w:val="24"/>
                <w:u w:val="none"/>
                <w:lang w:val="en-US" w:eastAsia="zh-CN" w:bidi="ar"/>
              </w:rPr>
              <w:br w:type="textWrapping"/>
            </w:r>
            <w:r>
              <w:rPr>
                <w:rFonts w:hint="eastAsia" w:ascii="黑体" w:hAnsi="宋体" w:eastAsia="黑体" w:cs="黑体"/>
                <w:i w:val="0"/>
                <w:color w:val="000000"/>
                <w:kern w:val="0"/>
                <w:sz w:val="24"/>
                <w:szCs w:val="24"/>
                <w:u w:val="none"/>
                <w:lang w:val="en-US" w:eastAsia="zh-CN" w:bidi="ar"/>
              </w:rPr>
              <w:t>类别</w:t>
            </w:r>
          </w:p>
        </w:tc>
        <w:tc>
          <w:tcPr>
            <w:tcW w:w="550" w:type="dxa"/>
            <w:tcBorders>
              <w:top w:val="single" w:color="auto" w:sz="8"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具体项目</w:t>
            </w:r>
          </w:p>
        </w:tc>
        <w:tc>
          <w:tcPr>
            <w:tcW w:w="4260" w:type="dxa"/>
            <w:tcBorders>
              <w:top w:val="single" w:color="auto" w:sz="8"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检查内容</w:t>
            </w:r>
          </w:p>
        </w:tc>
        <w:tc>
          <w:tcPr>
            <w:tcW w:w="1180" w:type="dxa"/>
            <w:tcBorders>
              <w:top w:val="single" w:color="auto" w:sz="8"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检查结果</w:t>
            </w:r>
          </w:p>
        </w:tc>
        <w:tc>
          <w:tcPr>
            <w:tcW w:w="400" w:type="dxa"/>
            <w:tcBorders>
              <w:top w:val="single" w:color="auto" w:sz="8"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分值</w:t>
            </w:r>
          </w:p>
        </w:tc>
        <w:tc>
          <w:tcPr>
            <w:tcW w:w="400" w:type="dxa"/>
            <w:tcBorders>
              <w:top w:val="single" w:color="auto" w:sz="8"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得分</w:t>
            </w:r>
          </w:p>
        </w:tc>
        <w:tc>
          <w:tcPr>
            <w:tcW w:w="400" w:type="dxa"/>
            <w:tcBorders>
              <w:top w:val="single" w:color="auto" w:sz="8"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94" w:hRule="exact"/>
          <w:jc w:val="center"/>
        </w:trPr>
        <w:tc>
          <w:tcPr>
            <w:tcW w:w="660" w:type="dxa"/>
            <w:vMerge w:val="restart"/>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信息公示区</w:t>
            </w:r>
          </w:p>
        </w:tc>
        <w:tc>
          <w:tcPr>
            <w:tcW w:w="4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w:t>
            </w:r>
          </w:p>
        </w:tc>
        <w:tc>
          <w:tcPr>
            <w:tcW w:w="6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信息</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公示</w:t>
            </w: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101</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bottom w:w="0"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在吧台、就餐区等经营场所醒目位置规范公示食品经营许可证</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bottom w:w="0"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37" w:hRule="exac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102</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bottom w:w="0"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公示上一次日常监督检查结果记录表</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bottom w:w="0"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37" w:hRule="exac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103</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bottom w:w="0"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公示量化等级标识</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bottom w:w="0"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94" w:hRule="exac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4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w:t>
            </w:r>
          </w:p>
        </w:tc>
        <w:tc>
          <w:tcPr>
            <w:tcW w:w="6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食品</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经营</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许可</w:t>
            </w: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201</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bottom w:w="0"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★食品经营许可证合法有效，不存在转让、涂改、出借、倒卖、出租等情况</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bottom w:w="0"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exac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202</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bottom w:w="0"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经营地址（实体门店）与食品经营许可证一致</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bottom w:w="0"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exac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203</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bottom w:w="0"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cs="仿宋"/>
                <w:i w:val="0"/>
                <w:color w:val="000000"/>
                <w:kern w:val="0"/>
                <w:sz w:val="21"/>
                <w:szCs w:val="21"/>
                <w:u w:val="none"/>
                <w:lang w:val="en-US" w:eastAsia="zh-CN" w:bidi="ar"/>
              </w:rPr>
              <w:t>实际</w:t>
            </w:r>
            <w:r>
              <w:rPr>
                <w:rFonts w:hint="eastAsia" w:ascii="仿宋" w:hAnsi="仿宋" w:eastAsia="仿宋" w:cs="仿宋"/>
                <w:i w:val="0"/>
                <w:color w:val="000000"/>
                <w:kern w:val="0"/>
                <w:sz w:val="21"/>
                <w:szCs w:val="21"/>
                <w:u w:val="none"/>
                <w:lang w:val="en-US" w:eastAsia="zh-CN" w:bidi="ar"/>
              </w:rPr>
              <w:t>经营项目与食品经营许可证一致</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bottom w:w="0"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64" w:hRule="atLeast"/>
          <w:jc w:val="center"/>
        </w:trPr>
        <w:tc>
          <w:tcPr>
            <w:tcW w:w="660" w:type="dxa"/>
            <w:vMerge w:val="restart"/>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原料贮存区</w:t>
            </w:r>
          </w:p>
        </w:tc>
        <w:tc>
          <w:tcPr>
            <w:tcW w:w="4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w:t>
            </w:r>
          </w:p>
        </w:tc>
        <w:tc>
          <w:tcPr>
            <w:tcW w:w="6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原料</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cs="仿宋"/>
                <w:i w:val="0"/>
                <w:color w:val="000000"/>
                <w:kern w:val="0"/>
                <w:sz w:val="24"/>
                <w:szCs w:val="24"/>
                <w:u w:val="none"/>
                <w:lang w:val="en-US" w:eastAsia="zh-CN" w:bidi="ar"/>
              </w:rPr>
              <w:t>贮存</w:t>
            </w: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301</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bottom w:w="0"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同一库房内贮存不同类别的食品和非食品（如食品包装材料等），分设存放区域，不同区域有明显的区分标识</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bottom w:w="0"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94" w:hRule="exac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302</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bottom w:w="0"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原料外包装标识符合要求，按照外包装标识的条件和要求规范贮存</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bottom w:w="0"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25" w:hRule="exac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303</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bottom w:w="0"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★食品贮存设施设备运转正常，并保持清洁</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bottom w:w="0"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94"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304</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bottom w:w="0"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冷冻（藏）设施正常运转，有正确显示设施内部温度的装置，设施内部温度符合规定</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bottom w:w="0"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37" w:hRule="exac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305</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bottom w:w="0"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冷冻（藏）库使用防爆灯</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bottom w:w="0"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94" w:hRule="exac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306</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bottom w:w="0"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食品添加剂专人负责保管，设有存放食品添加剂的专柜（位），并标注“食品添加剂”字样</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bottom w:w="0"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94" w:hRule="exac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307</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bottom w:w="0"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食品添加剂标签上标注有使用范围、用量、使用方法等内容</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bottom w:w="0"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94" w:hRule="exac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4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6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原料</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质量</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检查</w:t>
            </w: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401</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bottom w:w="0"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食品具有正常的感官性状，无超过保质期、无腐败变质等异常情形</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bottom w:w="0"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500" w:hRule="atLeast"/>
          <w:jc w:val="center"/>
        </w:trPr>
        <w:tc>
          <w:tcPr>
            <w:tcW w:w="660" w:type="dxa"/>
            <w:vMerge w:val="continue"/>
            <w:tcBorders>
              <w:top w:val="single" w:color="auto" w:sz="4" w:space="0"/>
              <w:left w:val="single" w:color="auto" w:sz="8" w:space="0"/>
              <w:bottom w:val="single" w:color="auto" w:sz="8"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1"/>
                <w:szCs w:val="21"/>
                <w:u w:val="none"/>
              </w:rPr>
            </w:pPr>
          </w:p>
        </w:tc>
        <w:tc>
          <w:tcPr>
            <w:tcW w:w="400" w:type="dxa"/>
            <w:vMerge w:val="continue"/>
            <w:tcBorders>
              <w:top w:val="single" w:color="auto" w:sz="4" w:space="0"/>
              <w:left w:val="single" w:color="auto" w:sz="4" w:space="0"/>
              <w:bottom w:val="single" w:color="auto" w:sz="8"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1"/>
                <w:szCs w:val="21"/>
                <w:u w:val="none"/>
              </w:rPr>
            </w:pPr>
          </w:p>
        </w:tc>
        <w:tc>
          <w:tcPr>
            <w:tcW w:w="600" w:type="dxa"/>
            <w:vMerge w:val="continue"/>
            <w:tcBorders>
              <w:top w:val="single" w:color="auto" w:sz="4" w:space="0"/>
              <w:left w:val="single" w:color="auto" w:sz="4" w:space="0"/>
              <w:bottom w:val="single" w:color="auto" w:sz="8"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1"/>
                <w:szCs w:val="21"/>
                <w:u w:val="none"/>
              </w:rPr>
            </w:pPr>
          </w:p>
        </w:tc>
        <w:tc>
          <w:tcPr>
            <w:tcW w:w="550" w:type="dxa"/>
            <w:tcBorders>
              <w:top w:val="single" w:color="auto" w:sz="4" w:space="0"/>
              <w:left w:val="single" w:color="auto" w:sz="4" w:space="0"/>
              <w:bottom w:val="single" w:color="auto" w:sz="8"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402</w:t>
            </w:r>
          </w:p>
        </w:tc>
        <w:tc>
          <w:tcPr>
            <w:tcW w:w="4260" w:type="dxa"/>
            <w:tcBorders>
              <w:top w:val="single" w:color="auto" w:sz="4" w:space="0"/>
              <w:left w:val="single" w:color="auto" w:sz="4" w:space="0"/>
              <w:bottom w:val="single" w:color="auto" w:sz="8" w:space="0"/>
              <w:right w:val="single" w:color="auto" w:sz="4" w:space="0"/>
            </w:tcBorders>
            <w:shd w:val="clear" w:color="auto" w:fill="auto"/>
            <w:tcMar>
              <w:top w:w="0" w:type="dxa"/>
              <w:left w:w="28" w:type="dxa"/>
              <w:bottom w:w="0"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定期检查食品安全状态，对变质、超过保质期或者回收的食品进行显著标示或者单独存放在有明确标志的场所，及时采取无害化处理、销毁等措施并如实记录</w:t>
            </w:r>
          </w:p>
        </w:tc>
        <w:tc>
          <w:tcPr>
            <w:tcW w:w="1180" w:type="dxa"/>
            <w:tcBorders>
              <w:top w:val="single" w:color="auto" w:sz="4" w:space="0"/>
              <w:left w:val="single" w:color="auto" w:sz="4" w:space="0"/>
              <w:bottom w:val="single" w:color="auto" w:sz="8" w:space="0"/>
              <w:right w:val="single" w:color="auto" w:sz="4" w:space="0"/>
            </w:tcBorders>
            <w:shd w:val="clear" w:color="auto" w:fill="auto"/>
            <w:tcMar>
              <w:top w:w="0" w:type="dxa"/>
              <w:left w:w="28" w:type="dxa"/>
              <w:bottom w:w="0"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8"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8"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c>
          <w:tcPr>
            <w:tcW w:w="400" w:type="dxa"/>
            <w:tcBorders>
              <w:top w:val="single" w:color="auto" w:sz="4" w:space="0"/>
              <w:left w:val="single" w:color="auto" w:sz="4" w:space="0"/>
              <w:bottom w:val="single" w:color="auto" w:sz="8" w:space="0"/>
              <w:right w:val="single" w:color="auto" w:sz="8"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0" w:hRule="atLeast"/>
          <w:jc w:val="center"/>
        </w:trPr>
        <w:tc>
          <w:tcPr>
            <w:tcW w:w="660" w:type="dxa"/>
            <w:tcBorders>
              <w:top w:val="single" w:color="auto" w:sz="8"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重点检查点位</w:t>
            </w:r>
          </w:p>
        </w:tc>
        <w:tc>
          <w:tcPr>
            <w:tcW w:w="400" w:type="dxa"/>
            <w:tcBorders>
              <w:top w:val="single" w:color="auto" w:sz="8"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项目序号</w:t>
            </w:r>
          </w:p>
        </w:tc>
        <w:tc>
          <w:tcPr>
            <w:tcW w:w="600" w:type="dxa"/>
            <w:tcBorders>
              <w:top w:val="single" w:color="auto" w:sz="8"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项目</w:t>
            </w:r>
            <w:r>
              <w:rPr>
                <w:rFonts w:hint="eastAsia" w:ascii="黑体" w:hAnsi="宋体" w:eastAsia="黑体" w:cs="黑体"/>
                <w:i w:val="0"/>
                <w:color w:val="000000"/>
                <w:kern w:val="0"/>
                <w:sz w:val="24"/>
                <w:szCs w:val="24"/>
                <w:u w:val="none"/>
                <w:lang w:val="en-US" w:eastAsia="zh-CN" w:bidi="ar"/>
              </w:rPr>
              <w:br w:type="textWrapping"/>
            </w:r>
            <w:r>
              <w:rPr>
                <w:rFonts w:hint="eastAsia" w:ascii="黑体" w:hAnsi="宋体" w:eastAsia="黑体" w:cs="黑体"/>
                <w:i w:val="0"/>
                <w:color w:val="000000"/>
                <w:kern w:val="0"/>
                <w:sz w:val="24"/>
                <w:szCs w:val="24"/>
                <w:u w:val="none"/>
                <w:lang w:val="en-US" w:eastAsia="zh-CN" w:bidi="ar"/>
              </w:rPr>
              <w:t>类别</w:t>
            </w:r>
          </w:p>
        </w:tc>
        <w:tc>
          <w:tcPr>
            <w:tcW w:w="550" w:type="dxa"/>
            <w:tcBorders>
              <w:top w:val="single" w:color="auto" w:sz="8"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具体项目</w:t>
            </w:r>
          </w:p>
        </w:tc>
        <w:tc>
          <w:tcPr>
            <w:tcW w:w="4260" w:type="dxa"/>
            <w:tcBorders>
              <w:top w:val="single" w:color="auto" w:sz="8"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检查内容</w:t>
            </w:r>
          </w:p>
        </w:tc>
        <w:tc>
          <w:tcPr>
            <w:tcW w:w="1180" w:type="dxa"/>
            <w:tcBorders>
              <w:top w:val="single" w:color="auto" w:sz="8"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检查结果</w:t>
            </w:r>
          </w:p>
        </w:tc>
        <w:tc>
          <w:tcPr>
            <w:tcW w:w="400" w:type="dxa"/>
            <w:tcBorders>
              <w:top w:val="single" w:color="auto" w:sz="8"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分值</w:t>
            </w:r>
          </w:p>
        </w:tc>
        <w:tc>
          <w:tcPr>
            <w:tcW w:w="400" w:type="dxa"/>
            <w:tcBorders>
              <w:top w:val="single" w:color="auto" w:sz="8"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得分</w:t>
            </w:r>
          </w:p>
        </w:tc>
        <w:tc>
          <w:tcPr>
            <w:tcW w:w="400" w:type="dxa"/>
            <w:tcBorders>
              <w:top w:val="single" w:color="auto" w:sz="8"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2" w:hRule="exact"/>
          <w:jc w:val="center"/>
        </w:trPr>
        <w:tc>
          <w:tcPr>
            <w:tcW w:w="660" w:type="dxa"/>
            <w:vMerge w:val="restart"/>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粗加工区</w:t>
            </w:r>
          </w:p>
        </w:tc>
        <w:tc>
          <w:tcPr>
            <w:tcW w:w="4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5</w:t>
            </w:r>
          </w:p>
        </w:tc>
        <w:tc>
          <w:tcPr>
            <w:tcW w:w="6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场所</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卫生</w:t>
            </w:r>
          </w:p>
        </w:tc>
        <w:tc>
          <w:tcPr>
            <w:tcW w:w="55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501</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★食品处理应在室内，场所布局合理，食品加工、陈列等设施设备运转正常，保持清洁</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4"/>
                <w:szCs w:val="24"/>
                <w:u w:val="none"/>
                <w:lang w:val="en-US" w:eastAsia="zh-CN" w:bidi="ar"/>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4"/>
                <w:szCs w:val="24"/>
                <w:u w:val="none"/>
                <w:lang w:val="en-US" w:eastAsia="zh-CN" w:bidi="ar"/>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502</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场所内整洁，无污染源、活畜禽和现场宰杀</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2"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4"/>
                <w:szCs w:val="24"/>
                <w:u w:val="none"/>
                <w:lang w:val="en-US" w:eastAsia="zh-CN" w:bidi="ar"/>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4"/>
                <w:szCs w:val="24"/>
                <w:u w:val="none"/>
                <w:lang w:val="en-US" w:eastAsia="zh-CN" w:bidi="ar"/>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503</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地面、墙壁、门窗、天花板等材质、状态符合要求，无霉斑污垢、积油、积水等情形</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4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6</w:t>
            </w:r>
          </w:p>
        </w:tc>
        <w:tc>
          <w:tcPr>
            <w:tcW w:w="6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粗加工与切配</w:t>
            </w:r>
          </w:p>
        </w:tc>
        <w:tc>
          <w:tcPr>
            <w:tcW w:w="55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601</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需清洗的食品原料应洗净后使用</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90"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4"/>
                <w:szCs w:val="24"/>
                <w:u w:val="none"/>
                <w:lang w:val="en-US" w:eastAsia="zh-CN" w:bidi="ar"/>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4"/>
                <w:szCs w:val="24"/>
                <w:u w:val="none"/>
                <w:lang w:val="en-US" w:eastAsia="zh-CN" w:bidi="ar"/>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602</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盛放或加工制作动物性、植物性、水产品等食品原料的工用具和容器分开使用，并有明显区分标识</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2" w:hRule="atLeast"/>
          <w:jc w:val="center"/>
        </w:trPr>
        <w:tc>
          <w:tcPr>
            <w:tcW w:w="660" w:type="dxa"/>
            <w:vMerge w:val="restart"/>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4"/>
                <w:szCs w:val="24"/>
                <w:u w:val="none"/>
              </w:rPr>
            </w:pPr>
            <w:r>
              <w:rPr>
                <w:rStyle w:val="8"/>
                <w:rFonts w:hint="eastAsia" w:ascii="仿宋" w:hAnsi="仿宋" w:eastAsia="仿宋" w:cs="仿宋"/>
                <w:sz w:val="24"/>
                <w:szCs w:val="24"/>
                <w:lang w:val="en-US" w:eastAsia="zh-CN" w:bidi="ar"/>
              </w:rPr>
              <w:t>专间</w:t>
            </w:r>
            <w:r>
              <w:rPr>
                <w:rStyle w:val="9"/>
                <w:rFonts w:hint="eastAsia" w:ascii="仿宋" w:hAnsi="仿宋" w:eastAsia="仿宋" w:cs="仿宋"/>
                <w:sz w:val="24"/>
                <w:szCs w:val="24"/>
                <w:lang w:val="en-US" w:eastAsia="zh-CN" w:bidi="ar"/>
              </w:rPr>
              <w:br w:type="textWrapping"/>
            </w:r>
            <w:r>
              <w:rPr>
                <w:rStyle w:val="9"/>
                <w:rFonts w:hint="eastAsia" w:ascii="仿宋" w:hAnsi="仿宋" w:eastAsia="仿宋" w:cs="仿宋"/>
                <w:sz w:val="24"/>
                <w:szCs w:val="24"/>
                <w:lang w:val="en-US" w:eastAsia="zh-CN" w:bidi="ar"/>
              </w:rPr>
              <w:br w:type="textWrapping"/>
            </w:r>
            <w:r>
              <w:rPr>
                <w:rStyle w:val="10"/>
                <w:rFonts w:hint="eastAsia" w:ascii="仿宋" w:hAnsi="仿宋" w:eastAsia="仿宋" w:cs="仿宋"/>
                <w:sz w:val="24"/>
                <w:szCs w:val="24"/>
                <w:lang w:val="en-US" w:eastAsia="zh-CN" w:bidi="ar"/>
              </w:rPr>
              <w:t>□</w:t>
            </w:r>
            <w:r>
              <w:rPr>
                <w:rStyle w:val="10"/>
                <w:rFonts w:hint="eastAsia" w:ascii="楷体" w:hAnsi="楷体" w:eastAsia="楷体" w:cs="楷体"/>
                <w:sz w:val="24"/>
                <w:szCs w:val="24"/>
                <w:lang w:val="en-US" w:eastAsia="zh-CN" w:bidi="ar"/>
              </w:rPr>
              <w:t>合理缺项</w:t>
            </w:r>
          </w:p>
        </w:tc>
        <w:tc>
          <w:tcPr>
            <w:tcW w:w="4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7</w:t>
            </w:r>
          </w:p>
        </w:tc>
        <w:tc>
          <w:tcPr>
            <w:tcW w:w="6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场所</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布局</w:t>
            </w:r>
          </w:p>
        </w:tc>
        <w:tc>
          <w:tcPr>
            <w:tcW w:w="55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701</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专间内布局合理，环境整洁，地面、墙壁、天花板、排水设施等材质、状态符合要求</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4"/>
                <w:szCs w:val="24"/>
                <w:u w:val="none"/>
                <w:lang w:val="en-US" w:eastAsia="zh-CN" w:bidi="ar"/>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4"/>
                <w:szCs w:val="24"/>
                <w:u w:val="none"/>
                <w:lang w:val="en-US" w:eastAsia="zh-CN" w:bidi="ar"/>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702</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各专间有标明用途的明显标识</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2"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4"/>
                <w:szCs w:val="24"/>
                <w:u w:val="none"/>
                <w:lang w:val="en-US" w:eastAsia="zh-CN" w:bidi="ar"/>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4"/>
                <w:szCs w:val="24"/>
                <w:u w:val="none"/>
                <w:lang w:val="en-US" w:eastAsia="zh-CN" w:bidi="ar"/>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703</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门能自动闭合，窗户为封闭式（用于传递食品的除外），门和食品传递窗口及时关闭</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95"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4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8</w:t>
            </w:r>
          </w:p>
        </w:tc>
        <w:tc>
          <w:tcPr>
            <w:tcW w:w="6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设施</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设备</w:t>
            </w:r>
          </w:p>
        </w:tc>
        <w:tc>
          <w:tcPr>
            <w:tcW w:w="55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801</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★食品加工、陈列等设施设备运转正常，并保持清洁</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4"/>
                <w:szCs w:val="24"/>
                <w:u w:val="none"/>
                <w:lang w:val="en-US" w:eastAsia="zh-CN" w:bidi="ar"/>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4"/>
                <w:szCs w:val="24"/>
                <w:u w:val="none"/>
                <w:lang w:val="en-US" w:eastAsia="zh-CN" w:bidi="ar"/>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802</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使用专用的加工工具</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24"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4"/>
                <w:szCs w:val="24"/>
                <w:u w:val="none"/>
                <w:lang w:val="en-US" w:eastAsia="zh-CN" w:bidi="ar"/>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4"/>
                <w:szCs w:val="24"/>
                <w:u w:val="none"/>
                <w:lang w:val="en-US" w:eastAsia="zh-CN" w:bidi="ar"/>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803</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专间内有专用的消毒（含空气消毒）、冷冻（藏）、独立的空调等设施，设施运转正常</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0"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4"/>
                <w:szCs w:val="24"/>
                <w:u w:val="none"/>
                <w:lang w:val="en-US" w:eastAsia="zh-CN" w:bidi="ar"/>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4"/>
                <w:szCs w:val="24"/>
                <w:u w:val="none"/>
                <w:lang w:val="en-US" w:eastAsia="zh-CN" w:bidi="ar"/>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804</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专间内温度不高于25℃</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10"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9</w:t>
            </w:r>
          </w:p>
        </w:tc>
        <w:tc>
          <w:tcPr>
            <w:tcW w:w="6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人员</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管理</w:t>
            </w:r>
          </w:p>
        </w:tc>
        <w:tc>
          <w:tcPr>
            <w:tcW w:w="55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901</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专间内由专人加工制作。加工制作人员穿戴专用的工作衣帽、佩戴口罩，严格清洗消毒手部后进入专间</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00"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10</w:t>
            </w:r>
          </w:p>
        </w:tc>
        <w:tc>
          <w:tcPr>
            <w:tcW w:w="6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加工</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制作</w:t>
            </w:r>
          </w:p>
        </w:tc>
        <w:tc>
          <w:tcPr>
            <w:tcW w:w="55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1001</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★生食类食品、裱花蛋糕、冷食类食品等的加工在专间内按规定进行（可不在专间加工的情形除外）</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2</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80"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11</w:t>
            </w:r>
          </w:p>
        </w:tc>
        <w:tc>
          <w:tcPr>
            <w:tcW w:w="6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废弃物管理</w:t>
            </w:r>
          </w:p>
        </w:tc>
        <w:tc>
          <w:tcPr>
            <w:tcW w:w="55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1101</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专间内的废弃物容器的盖子为非手动开启式</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24" w:hRule="atLeast"/>
          <w:jc w:val="center"/>
        </w:trPr>
        <w:tc>
          <w:tcPr>
            <w:tcW w:w="660" w:type="dxa"/>
            <w:vMerge w:val="restart"/>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Style w:val="8"/>
                <w:rFonts w:hint="eastAsia" w:ascii="仿宋" w:hAnsi="仿宋" w:eastAsia="仿宋" w:cs="仿宋"/>
                <w:sz w:val="24"/>
                <w:szCs w:val="24"/>
                <w:lang w:val="en-US" w:eastAsia="zh-CN" w:bidi="ar"/>
              </w:rPr>
              <w:t>专用操作区</w:t>
            </w:r>
            <w:r>
              <w:rPr>
                <w:rStyle w:val="11"/>
                <w:rFonts w:hint="eastAsia" w:ascii="仿宋" w:hAnsi="仿宋" w:eastAsia="仿宋" w:cs="仿宋"/>
                <w:sz w:val="24"/>
                <w:szCs w:val="24"/>
                <w:lang w:val="en-US" w:eastAsia="zh-CN" w:bidi="ar"/>
              </w:rPr>
              <w:br w:type="textWrapping"/>
            </w:r>
            <w:r>
              <w:rPr>
                <w:rStyle w:val="11"/>
                <w:rFonts w:hint="eastAsia" w:ascii="仿宋" w:hAnsi="仿宋" w:eastAsia="仿宋" w:cs="仿宋"/>
                <w:sz w:val="24"/>
                <w:szCs w:val="24"/>
                <w:lang w:val="en-US" w:eastAsia="zh-CN" w:bidi="ar"/>
              </w:rPr>
              <w:br w:type="textWrapping"/>
            </w:r>
            <w:r>
              <w:rPr>
                <w:rStyle w:val="11"/>
                <w:rFonts w:hint="eastAsia" w:ascii="仿宋" w:hAnsi="仿宋" w:eastAsia="仿宋" w:cs="仿宋"/>
                <w:sz w:val="24"/>
                <w:szCs w:val="24"/>
                <w:lang w:val="en-US" w:eastAsia="zh-CN" w:bidi="ar"/>
              </w:rPr>
              <w:t>□</w:t>
            </w:r>
            <w:r>
              <w:rPr>
                <w:rStyle w:val="11"/>
                <w:rFonts w:hint="eastAsia" w:ascii="楷体" w:hAnsi="楷体" w:eastAsia="楷体" w:cs="楷体"/>
                <w:sz w:val="24"/>
                <w:szCs w:val="24"/>
                <w:lang w:val="en-US" w:eastAsia="zh-CN" w:bidi="ar"/>
              </w:rPr>
              <w:t>合理缺项</w:t>
            </w:r>
          </w:p>
        </w:tc>
        <w:tc>
          <w:tcPr>
            <w:tcW w:w="4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12</w:t>
            </w:r>
          </w:p>
        </w:tc>
        <w:tc>
          <w:tcPr>
            <w:tcW w:w="6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场所</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设备</w:t>
            </w:r>
          </w:p>
        </w:tc>
        <w:tc>
          <w:tcPr>
            <w:tcW w:w="55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1201</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布局合理，环境整洁，地面、墙壁、门窗、天花板、排水设施等材质、状态符合要求</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24"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4"/>
                <w:szCs w:val="24"/>
                <w:u w:val="none"/>
                <w:lang w:val="en-US" w:eastAsia="zh-CN" w:bidi="ar"/>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4"/>
                <w:szCs w:val="24"/>
                <w:u w:val="none"/>
                <w:lang w:val="en-US" w:eastAsia="zh-CN" w:bidi="ar"/>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1202</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★食品加工、陈列等设施设备运转正常，并保持清洁</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170"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13</w:t>
            </w:r>
          </w:p>
        </w:tc>
        <w:tc>
          <w:tcPr>
            <w:tcW w:w="6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加工</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制作</w:t>
            </w:r>
          </w:p>
        </w:tc>
        <w:tc>
          <w:tcPr>
            <w:tcW w:w="55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1301</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在专用操作区从事备餐、制作现榨果蔬汁或果蔬拼盘、制作植物性冷食类食品（不含非发酵豆制品）及预包装食品的拆封、装盘、调味等加工制作（也可在专间操作）</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24" w:hRule="atLeast"/>
          <w:jc w:val="center"/>
        </w:trPr>
        <w:tc>
          <w:tcPr>
            <w:tcW w:w="660" w:type="dxa"/>
            <w:vMerge w:val="continue"/>
            <w:tcBorders>
              <w:top w:val="single" w:color="auto" w:sz="4" w:space="0"/>
              <w:left w:val="single" w:color="auto" w:sz="8" w:space="0"/>
              <w:bottom w:val="single" w:color="auto" w:sz="8"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400" w:type="dxa"/>
            <w:tcBorders>
              <w:top w:val="single" w:color="auto" w:sz="4" w:space="0"/>
              <w:left w:val="single" w:color="auto" w:sz="4" w:space="0"/>
              <w:bottom w:val="single" w:color="auto" w:sz="8"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14</w:t>
            </w:r>
          </w:p>
        </w:tc>
        <w:tc>
          <w:tcPr>
            <w:tcW w:w="600" w:type="dxa"/>
            <w:tcBorders>
              <w:top w:val="single" w:color="auto" w:sz="4" w:space="0"/>
              <w:left w:val="single" w:color="auto" w:sz="4" w:space="0"/>
              <w:bottom w:val="single" w:color="auto" w:sz="8"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人员</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管理</w:t>
            </w:r>
          </w:p>
        </w:tc>
        <w:tc>
          <w:tcPr>
            <w:tcW w:w="550" w:type="dxa"/>
            <w:tcBorders>
              <w:top w:val="single" w:color="auto" w:sz="4" w:space="0"/>
              <w:left w:val="single" w:color="auto" w:sz="4" w:space="0"/>
              <w:bottom w:val="single" w:color="auto" w:sz="8"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1401</w:t>
            </w:r>
          </w:p>
        </w:tc>
        <w:tc>
          <w:tcPr>
            <w:tcW w:w="4260" w:type="dxa"/>
            <w:tcBorders>
              <w:top w:val="single" w:color="auto" w:sz="4" w:space="0"/>
              <w:left w:val="single" w:color="auto" w:sz="4" w:space="0"/>
              <w:bottom w:val="single" w:color="auto" w:sz="8"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加工制作人员穿戴专用的工作衣帽并按规定佩戴口罩，加工制作前严格清洗消毒手部</w:t>
            </w:r>
          </w:p>
        </w:tc>
        <w:tc>
          <w:tcPr>
            <w:tcW w:w="1180" w:type="dxa"/>
            <w:tcBorders>
              <w:top w:val="single" w:color="auto" w:sz="4" w:space="0"/>
              <w:left w:val="single" w:color="auto" w:sz="4" w:space="0"/>
              <w:bottom w:val="single" w:color="auto" w:sz="8"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8"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8"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8" w:space="0"/>
              <w:right w:val="single" w:color="auto" w:sz="8"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090" w:hRule="atLeast"/>
          <w:jc w:val="center"/>
        </w:trPr>
        <w:tc>
          <w:tcPr>
            <w:tcW w:w="660" w:type="dxa"/>
            <w:tcBorders>
              <w:top w:val="single" w:color="auto" w:sz="8"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重点检查点位</w:t>
            </w:r>
          </w:p>
        </w:tc>
        <w:tc>
          <w:tcPr>
            <w:tcW w:w="400" w:type="dxa"/>
            <w:tcBorders>
              <w:top w:val="single" w:color="auto" w:sz="8"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项目序号</w:t>
            </w:r>
          </w:p>
        </w:tc>
        <w:tc>
          <w:tcPr>
            <w:tcW w:w="600" w:type="dxa"/>
            <w:tcBorders>
              <w:top w:val="single" w:color="auto" w:sz="8"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项目</w:t>
            </w:r>
            <w:r>
              <w:rPr>
                <w:rFonts w:hint="eastAsia" w:ascii="黑体" w:hAnsi="宋体" w:eastAsia="黑体" w:cs="黑体"/>
                <w:i w:val="0"/>
                <w:color w:val="000000"/>
                <w:kern w:val="0"/>
                <w:sz w:val="24"/>
                <w:szCs w:val="24"/>
                <w:u w:val="none"/>
                <w:lang w:val="en-US" w:eastAsia="zh-CN" w:bidi="ar"/>
              </w:rPr>
              <w:br w:type="textWrapping"/>
            </w:r>
            <w:r>
              <w:rPr>
                <w:rFonts w:hint="eastAsia" w:ascii="黑体" w:hAnsi="宋体" w:eastAsia="黑体" w:cs="黑体"/>
                <w:i w:val="0"/>
                <w:color w:val="000000"/>
                <w:kern w:val="0"/>
                <w:sz w:val="24"/>
                <w:szCs w:val="24"/>
                <w:u w:val="none"/>
                <w:lang w:val="en-US" w:eastAsia="zh-CN" w:bidi="ar"/>
              </w:rPr>
              <w:t>类别</w:t>
            </w:r>
          </w:p>
        </w:tc>
        <w:tc>
          <w:tcPr>
            <w:tcW w:w="550" w:type="dxa"/>
            <w:tcBorders>
              <w:top w:val="single" w:color="auto" w:sz="8"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具体项目</w:t>
            </w:r>
          </w:p>
        </w:tc>
        <w:tc>
          <w:tcPr>
            <w:tcW w:w="4260" w:type="dxa"/>
            <w:tcBorders>
              <w:top w:val="single" w:color="auto" w:sz="8"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检查内容</w:t>
            </w:r>
          </w:p>
        </w:tc>
        <w:tc>
          <w:tcPr>
            <w:tcW w:w="1180" w:type="dxa"/>
            <w:tcBorders>
              <w:top w:val="single" w:color="auto" w:sz="8"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检查结果</w:t>
            </w:r>
          </w:p>
        </w:tc>
        <w:tc>
          <w:tcPr>
            <w:tcW w:w="400" w:type="dxa"/>
            <w:tcBorders>
              <w:top w:val="single" w:color="auto" w:sz="8"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分值</w:t>
            </w:r>
          </w:p>
        </w:tc>
        <w:tc>
          <w:tcPr>
            <w:tcW w:w="400" w:type="dxa"/>
            <w:tcBorders>
              <w:top w:val="single" w:color="auto" w:sz="8"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得分</w:t>
            </w:r>
          </w:p>
        </w:tc>
        <w:tc>
          <w:tcPr>
            <w:tcW w:w="400" w:type="dxa"/>
            <w:tcBorders>
              <w:top w:val="single" w:color="auto" w:sz="8"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39" w:hRule="atLeast"/>
          <w:jc w:val="center"/>
        </w:trPr>
        <w:tc>
          <w:tcPr>
            <w:tcW w:w="660" w:type="dxa"/>
            <w:vMerge w:val="restart"/>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烹饪区</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15</w:t>
            </w:r>
          </w:p>
        </w:tc>
        <w:tc>
          <w:tcPr>
            <w:tcW w:w="6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场所</w:t>
            </w:r>
            <w:r>
              <w:rPr>
                <w:rStyle w:val="11"/>
                <w:rFonts w:hint="eastAsia" w:ascii="仿宋" w:hAnsi="仿宋" w:eastAsia="仿宋" w:cs="仿宋"/>
                <w:i w:val="0"/>
                <w:color w:val="000000"/>
                <w:sz w:val="24"/>
                <w:szCs w:val="24"/>
                <w:lang w:val="en-US" w:eastAsia="zh-CN" w:bidi="ar"/>
              </w:rPr>
              <w:br w:type="textWrapping"/>
            </w:r>
            <w:r>
              <w:rPr>
                <w:rStyle w:val="11"/>
                <w:rFonts w:hint="eastAsia" w:ascii="仿宋" w:hAnsi="仿宋" w:eastAsia="仿宋" w:cs="仿宋"/>
                <w:i w:val="0"/>
                <w:color w:val="000000"/>
                <w:sz w:val="24"/>
                <w:szCs w:val="24"/>
                <w:lang w:val="en-US" w:eastAsia="zh-CN" w:bidi="ar"/>
              </w:rPr>
              <w:t>卫生</w:t>
            </w: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1501</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布局合理，环境整洁，地面、墙壁、门窗、天花板、排水设施等材质、状态符合要求</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39"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16</w:t>
            </w:r>
          </w:p>
        </w:tc>
        <w:tc>
          <w:tcPr>
            <w:tcW w:w="6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设施</w:t>
            </w:r>
            <w:r>
              <w:rPr>
                <w:rStyle w:val="11"/>
                <w:rFonts w:hint="eastAsia" w:ascii="仿宋" w:hAnsi="仿宋" w:eastAsia="仿宋" w:cs="仿宋"/>
                <w:i w:val="0"/>
                <w:color w:val="000000"/>
                <w:sz w:val="24"/>
                <w:szCs w:val="24"/>
                <w:lang w:val="en-US" w:eastAsia="zh-CN" w:bidi="ar"/>
              </w:rPr>
              <w:br w:type="textWrapping"/>
            </w:r>
            <w:r>
              <w:rPr>
                <w:rStyle w:val="11"/>
                <w:rFonts w:hint="eastAsia" w:ascii="仿宋" w:hAnsi="仿宋" w:eastAsia="仿宋" w:cs="仿宋"/>
                <w:i w:val="0"/>
                <w:color w:val="000000"/>
                <w:sz w:val="24"/>
                <w:szCs w:val="24"/>
                <w:lang w:val="en-US" w:eastAsia="zh-CN" w:bidi="ar"/>
              </w:rPr>
              <w:t>设备</w:t>
            </w: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1601</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★食品加工、陈列等设施设备运转正常，并保持清洁</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69"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1602</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盛放调味料的容器表面清洁，</w:t>
            </w:r>
            <w:r>
              <w:rPr>
                <w:rFonts w:hint="eastAsia" w:ascii="仿宋" w:hAnsi="仿宋" w:cs="仿宋"/>
                <w:i w:val="0"/>
                <w:color w:val="000000"/>
                <w:kern w:val="0"/>
                <w:sz w:val="21"/>
                <w:szCs w:val="21"/>
                <w:u w:val="none"/>
                <w:lang w:val="en-US" w:eastAsia="zh-CN" w:bidi="ar"/>
              </w:rPr>
              <w:t>使用后</w:t>
            </w:r>
            <w:r>
              <w:rPr>
                <w:rFonts w:hint="eastAsia" w:ascii="仿宋" w:hAnsi="仿宋" w:eastAsia="仿宋" w:cs="仿宋"/>
                <w:i w:val="0"/>
                <w:color w:val="000000"/>
                <w:kern w:val="0"/>
                <w:sz w:val="21"/>
                <w:szCs w:val="21"/>
                <w:u w:val="none"/>
                <w:lang w:val="en-US" w:eastAsia="zh-CN" w:bidi="ar"/>
              </w:rPr>
              <w:t>加盖存放</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39"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1603</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加工动物性、植物性、水产品等食品原料的容器、工用具分开使用，并有明显区分标识</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39"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1604</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食品原料、半成品与成品在盛放、贮存时相互分开</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00"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17</w:t>
            </w:r>
          </w:p>
        </w:tc>
        <w:tc>
          <w:tcPr>
            <w:tcW w:w="6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防尘防有害生物设施</w:t>
            </w: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1701</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配备防尘、防蝇、防鼠、防虫等设施设备</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60"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18</w:t>
            </w:r>
          </w:p>
        </w:tc>
        <w:tc>
          <w:tcPr>
            <w:tcW w:w="6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通风排烟和照明设施</w:t>
            </w: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1801</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配备通风、排烟设施，正常使用，定期清洁</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80"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1802</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有充足的自然光或人工照明设施，光源不改变食品的感官颜色</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69"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19</w:t>
            </w:r>
          </w:p>
        </w:tc>
        <w:tc>
          <w:tcPr>
            <w:tcW w:w="6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加工</w:t>
            </w:r>
            <w:r>
              <w:rPr>
                <w:rStyle w:val="11"/>
                <w:rFonts w:hint="eastAsia" w:ascii="仿宋" w:hAnsi="仿宋" w:eastAsia="仿宋" w:cs="仿宋"/>
                <w:i w:val="0"/>
                <w:color w:val="000000"/>
                <w:sz w:val="24"/>
                <w:szCs w:val="24"/>
                <w:lang w:val="en-US" w:eastAsia="zh-CN" w:bidi="ar"/>
              </w:rPr>
              <w:br w:type="textWrapping"/>
            </w:r>
            <w:r>
              <w:rPr>
                <w:rStyle w:val="11"/>
                <w:rFonts w:hint="eastAsia" w:ascii="仿宋" w:hAnsi="仿宋" w:eastAsia="仿宋" w:cs="仿宋"/>
                <w:i w:val="0"/>
                <w:color w:val="000000"/>
                <w:sz w:val="24"/>
                <w:szCs w:val="24"/>
                <w:lang w:val="en-US" w:eastAsia="zh-CN" w:bidi="ar"/>
              </w:rPr>
              <w:t>制作</w:t>
            </w: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1901</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★未采购、贮存、使用国家禁止经营的食品</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2</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50" w:hRule="exac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1902</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未贮存和添加由国务院食品安全监督管理部门会同国务院卫生行政等部门发布的非食品用化学物质和其他可能危害人体健康的物质</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39"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1903</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油炸类食品、烧烤类食品、火锅类食品、糕点面点类食品、自制饮品等加工过程符合要求</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39"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1904</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食品再加热符合要求，食品中心温度达到70℃以上</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39"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1905</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食品添加剂由专人负责领用、登记，并保存相关记录</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39"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1906</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★未超范围、超限量使用食品添加剂，准确称量和记录有“最大使用量”规定的食品添加剂</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2</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39"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1907</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★未采购、贮存、使用亚硝酸盐（包括亚硝酸钠、亚硝酸钾）</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39"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1908</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供水设施符合要求，用水符合生活饮用水卫生标准</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50"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20</w:t>
            </w:r>
          </w:p>
        </w:tc>
        <w:tc>
          <w:tcPr>
            <w:tcW w:w="6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食品</w:t>
            </w:r>
            <w:r>
              <w:rPr>
                <w:rStyle w:val="11"/>
                <w:rFonts w:hint="eastAsia" w:ascii="仿宋" w:hAnsi="仿宋" w:eastAsia="仿宋" w:cs="仿宋"/>
                <w:i w:val="0"/>
                <w:color w:val="000000"/>
                <w:sz w:val="24"/>
                <w:szCs w:val="24"/>
                <w:lang w:val="en-US" w:eastAsia="zh-CN" w:bidi="ar"/>
              </w:rPr>
              <w:br w:type="textWrapping"/>
            </w:r>
            <w:r>
              <w:rPr>
                <w:rStyle w:val="11"/>
                <w:rFonts w:hint="eastAsia" w:ascii="仿宋" w:hAnsi="仿宋" w:eastAsia="仿宋" w:cs="仿宋"/>
                <w:i w:val="0"/>
                <w:color w:val="000000"/>
                <w:sz w:val="24"/>
                <w:szCs w:val="24"/>
                <w:lang w:val="en-US" w:eastAsia="zh-CN" w:bidi="ar"/>
              </w:rPr>
              <w:t>留样</w:t>
            </w: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2001</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★集体聚餐人数超过100人或为重大活动供餐，每餐次食品成品留样,每个品种留样量不少于125克，并有留样记录</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2</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50"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21</w:t>
            </w:r>
          </w:p>
        </w:tc>
        <w:tc>
          <w:tcPr>
            <w:tcW w:w="6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废弃物处理</w:t>
            </w: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2101</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餐厨废弃物存放容器与食品加工制作容器有明显区分标识，并及时清理，餐厨废弃物未溢出存放容器。存放废弃物的容器设有盖子</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660" w:type="dxa"/>
            <w:vMerge w:val="continue"/>
            <w:tcBorders>
              <w:top w:val="single" w:color="auto" w:sz="4" w:space="0"/>
              <w:left w:val="single" w:color="auto" w:sz="8" w:space="0"/>
              <w:bottom w:val="single" w:color="auto" w:sz="8"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tcBorders>
              <w:top w:val="single" w:color="auto" w:sz="4" w:space="0"/>
              <w:left w:val="single" w:color="auto" w:sz="4" w:space="0"/>
              <w:bottom w:val="single" w:color="auto" w:sz="8"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22</w:t>
            </w:r>
          </w:p>
        </w:tc>
        <w:tc>
          <w:tcPr>
            <w:tcW w:w="600" w:type="dxa"/>
            <w:tcBorders>
              <w:top w:val="single" w:color="auto" w:sz="4" w:space="0"/>
              <w:left w:val="single" w:color="auto" w:sz="4" w:space="0"/>
              <w:bottom w:val="single" w:color="auto" w:sz="8"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人员</w:t>
            </w:r>
            <w:r>
              <w:rPr>
                <w:rStyle w:val="11"/>
                <w:rFonts w:hint="eastAsia" w:ascii="仿宋" w:hAnsi="仿宋" w:eastAsia="仿宋" w:cs="仿宋"/>
                <w:i w:val="0"/>
                <w:color w:val="000000"/>
                <w:sz w:val="24"/>
                <w:szCs w:val="24"/>
                <w:lang w:val="en-US" w:eastAsia="zh-CN" w:bidi="ar"/>
              </w:rPr>
              <w:br w:type="textWrapping"/>
            </w:r>
            <w:r>
              <w:rPr>
                <w:rStyle w:val="11"/>
                <w:rFonts w:hint="eastAsia" w:ascii="仿宋" w:hAnsi="仿宋" w:eastAsia="仿宋" w:cs="仿宋"/>
                <w:i w:val="0"/>
                <w:color w:val="000000"/>
                <w:sz w:val="24"/>
                <w:szCs w:val="24"/>
                <w:lang w:val="en-US" w:eastAsia="zh-CN" w:bidi="ar"/>
              </w:rPr>
              <w:t>管理</w:t>
            </w:r>
          </w:p>
        </w:tc>
        <w:tc>
          <w:tcPr>
            <w:tcW w:w="550" w:type="dxa"/>
            <w:tcBorders>
              <w:top w:val="single" w:color="auto" w:sz="4" w:space="0"/>
              <w:left w:val="single" w:color="auto" w:sz="4" w:space="0"/>
              <w:bottom w:val="single" w:color="auto" w:sz="8"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2201</w:t>
            </w:r>
          </w:p>
        </w:tc>
        <w:tc>
          <w:tcPr>
            <w:tcW w:w="4260" w:type="dxa"/>
            <w:tcBorders>
              <w:top w:val="single" w:color="auto" w:sz="4" w:space="0"/>
              <w:left w:val="single" w:color="auto" w:sz="4" w:space="0"/>
              <w:bottom w:val="single" w:color="auto" w:sz="8"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从事接触直接入口食品工作的从业人员，加工制作食品前对手部进行清洗消毒</w:t>
            </w:r>
          </w:p>
        </w:tc>
        <w:tc>
          <w:tcPr>
            <w:tcW w:w="1180" w:type="dxa"/>
            <w:tcBorders>
              <w:top w:val="single" w:color="auto" w:sz="4" w:space="0"/>
              <w:left w:val="single" w:color="auto" w:sz="4" w:space="0"/>
              <w:bottom w:val="single" w:color="auto" w:sz="8"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8"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8"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8"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0" w:hRule="atLeast"/>
          <w:jc w:val="center"/>
        </w:trPr>
        <w:tc>
          <w:tcPr>
            <w:tcW w:w="660" w:type="dxa"/>
            <w:tcBorders>
              <w:top w:val="single" w:color="auto" w:sz="8"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重点检查点位</w:t>
            </w:r>
          </w:p>
        </w:tc>
        <w:tc>
          <w:tcPr>
            <w:tcW w:w="400" w:type="dxa"/>
            <w:tcBorders>
              <w:top w:val="single" w:color="auto" w:sz="8"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项目序号</w:t>
            </w:r>
          </w:p>
        </w:tc>
        <w:tc>
          <w:tcPr>
            <w:tcW w:w="600" w:type="dxa"/>
            <w:tcBorders>
              <w:top w:val="single" w:color="auto" w:sz="8"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项目</w:t>
            </w:r>
            <w:r>
              <w:rPr>
                <w:rFonts w:hint="eastAsia" w:ascii="黑体" w:hAnsi="宋体" w:eastAsia="黑体" w:cs="黑体"/>
                <w:i w:val="0"/>
                <w:color w:val="000000"/>
                <w:kern w:val="0"/>
                <w:sz w:val="24"/>
                <w:szCs w:val="24"/>
                <w:u w:val="none"/>
                <w:lang w:val="en-US" w:eastAsia="zh-CN" w:bidi="ar"/>
              </w:rPr>
              <w:br w:type="textWrapping"/>
            </w:r>
            <w:r>
              <w:rPr>
                <w:rFonts w:hint="eastAsia" w:ascii="黑体" w:hAnsi="宋体" w:eastAsia="黑体" w:cs="黑体"/>
                <w:i w:val="0"/>
                <w:color w:val="000000"/>
                <w:kern w:val="0"/>
                <w:sz w:val="24"/>
                <w:szCs w:val="24"/>
                <w:u w:val="none"/>
                <w:lang w:val="en-US" w:eastAsia="zh-CN" w:bidi="ar"/>
              </w:rPr>
              <w:t>类别</w:t>
            </w:r>
          </w:p>
        </w:tc>
        <w:tc>
          <w:tcPr>
            <w:tcW w:w="550" w:type="dxa"/>
            <w:tcBorders>
              <w:top w:val="single" w:color="auto" w:sz="8"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具体项目</w:t>
            </w:r>
          </w:p>
        </w:tc>
        <w:tc>
          <w:tcPr>
            <w:tcW w:w="4260" w:type="dxa"/>
            <w:tcBorders>
              <w:top w:val="single" w:color="auto" w:sz="8"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检查内容</w:t>
            </w:r>
          </w:p>
        </w:tc>
        <w:tc>
          <w:tcPr>
            <w:tcW w:w="1180" w:type="dxa"/>
            <w:tcBorders>
              <w:top w:val="single" w:color="auto" w:sz="8"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检查结果</w:t>
            </w:r>
          </w:p>
        </w:tc>
        <w:tc>
          <w:tcPr>
            <w:tcW w:w="400" w:type="dxa"/>
            <w:tcBorders>
              <w:top w:val="single" w:color="auto" w:sz="8"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分值</w:t>
            </w:r>
          </w:p>
        </w:tc>
        <w:tc>
          <w:tcPr>
            <w:tcW w:w="400" w:type="dxa"/>
            <w:tcBorders>
              <w:top w:val="single" w:color="auto" w:sz="8"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得分</w:t>
            </w:r>
          </w:p>
        </w:tc>
        <w:tc>
          <w:tcPr>
            <w:tcW w:w="400" w:type="dxa"/>
            <w:tcBorders>
              <w:top w:val="single" w:color="auto" w:sz="8"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0" w:hRule="atLeast"/>
          <w:jc w:val="center"/>
        </w:trPr>
        <w:tc>
          <w:tcPr>
            <w:tcW w:w="660" w:type="dxa"/>
            <w:vMerge w:val="restart"/>
            <w:tcBorders>
              <w:top w:val="single" w:color="auto" w:sz="4" w:space="0"/>
              <w:left w:val="single" w:color="auto" w:sz="8"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就餐区</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23</w:t>
            </w:r>
          </w:p>
        </w:tc>
        <w:tc>
          <w:tcPr>
            <w:tcW w:w="6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场所</w:t>
            </w:r>
            <w:r>
              <w:rPr>
                <w:rStyle w:val="11"/>
                <w:rFonts w:hint="eastAsia" w:ascii="仿宋" w:hAnsi="仿宋" w:eastAsia="仿宋" w:cs="仿宋"/>
                <w:i w:val="0"/>
                <w:color w:val="000000"/>
                <w:sz w:val="24"/>
                <w:szCs w:val="24"/>
                <w:lang w:val="en-US" w:eastAsia="zh-CN" w:bidi="ar"/>
              </w:rPr>
              <w:br w:type="textWrapping"/>
            </w:r>
            <w:r>
              <w:rPr>
                <w:rStyle w:val="11"/>
                <w:rFonts w:hint="eastAsia" w:ascii="仿宋" w:hAnsi="仿宋" w:eastAsia="仿宋" w:cs="仿宋"/>
                <w:i w:val="0"/>
                <w:color w:val="000000"/>
                <w:sz w:val="24"/>
                <w:szCs w:val="24"/>
                <w:lang w:val="en-US" w:eastAsia="zh-CN" w:bidi="ar"/>
              </w:rPr>
              <w:t>卫生</w:t>
            </w: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2301</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就餐场所清洁卫生</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2" w:hRule="exact"/>
          <w:jc w:val="center"/>
        </w:trPr>
        <w:tc>
          <w:tcPr>
            <w:tcW w:w="660" w:type="dxa"/>
            <w:vMerge w:val="continue"/>
            <w:tcBorders>
              <w:left w:val="single" w:color="auto" w:sz="8"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vMerge w:val="restart"/>
            <w:tcBorders>
              <w:top w:val="single" w:color="auto" w:sz="4" w:space="0"/>
              <w:left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24</w:t>
            </w:r>
          </w:p>
        </w:tc>
        <w:tc>
          <w:tcPr>
            <w:tcW w:w="600" w:type="dxa"/>
            <w:vMerge w:val="restart"/>
            <w:tcBorders>
              <w:top w:val="single" w:color="auto" w:sz="4" w:space="0"/>
              <w:left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食品</w:t>
            </w:r>
            <w:r>
              <w:rPr>
                <w:rStyle w:val="11"/>
                <w:rFonts w:hint="eastAsia" w:ascii="仿宋" w:hAnsi="仿宋" w:eastAsia="仿宋" w:cs="仿宋"/>
                <w:i w:val="0"/>
                <w:color w:val="000000"/>
                <w:sz w:val="24"/>
                <w:szCs w:val="24"/>
                <w:lang w:val="en-US" w:eastAsia="zh-CN" w:bidi="ar"/>
              </w:rPr>
              <w:br w:type="textWrapping"/>
            </w:r>
            <w:r>
              <w:rPr>
                <w:rStyle w:val="11"/>
                <w:rFonts w:hint="eastAsia" w:ascii="仿宋" w:hAnsi="仿宋" w:eastAsia="仿宋" w:cs="仿宋"/>
                <w:i w:val="0"/>
                <w:color w:val="000000"/>
                <w:sz w:val="24"/>
                <w:szCs w:val="24"/>
                <w:lang w:val="en-US" w:eastAsia="zh-CN" w:bidi="ar"/>
              </w:rPr>
              <w:t>供应</w:t>
            </w: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2401</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预包装食品供应温度不超过标签标注温度上限的3℃</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38" w:hRule="atLeast"/>
          <w:jc w:val="center"/>
        </w:trPr>
        <w:tc>
          <w:tcPr>
            <w:tcW w:w="660" w:type="dxa"/>
            <w:vMerge w:val="continue"/>
            <w:tcBorders>
              <w:left w:val="single" w:color="auto" w:sz="8"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vMerge w:val="continue"/>
            <w:tcBorders>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600" w:type="dxa"/>
            <w:vMerge w:val="continue"/>
            <w:tcBorders>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 w:hAnsi="仿宋" w:eastAsia="仿宋" w:cs="仿宋"/>
                <w:i w:val="0"/>
                <w:color w:val="000000"/>
                <w:kern w:val="0"/>
                <w:sz w:val="21"/>
                <w:szCs w:val="21"/>
                <w:u w:val="none"/>
                <w:lang w:val="en-US" w:eastAsia="zh-CN" w:bidi="ar"/>
              </w:rPr>
            </w:pPr>
            <w:r>
              <w:rPr>
                <w:rFonts w:hint="eastAsia" w:ascii="仿宋" w:hAnsi="仿宋" w:cs="仿宋"/>
                <w:i w:val="0"/>
                <w:color w:val="000000"/>
                <w:kern w:val="0"/>
                <w:sz w:val="21"/>
                <w:szCs w:val="21"/>
                <w:u w:val="none"/>
                <w:lang w:val="en-US" w:eastAsia="zh-CN" w:bidi="ar"/>
              </w:rPr>
              <w:t>2402</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cs="仿宋"/>
                <w:i w:val="0"/>
                <w:color w:val="000000"/>
                <w:kern w:val="0"/>
                <w:sz w:val="21"/>
                <w:szCs w:val="21"/>
                <w:u w:val="none"/>
                <w:lang w:val="en-US" w:eastAsia="zh-CN" w:bidi="ar"/>
              </w:rPr>
              <w:t>应提供公勺公筷服务，规范开展分餐制服务</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00" w:hRule="atLeast"/>
          <w:jc w:val="center"/>
        </w:trPr>
        <w:tc>
          <w:tcPr>
            <w:tcW w:w="660" w:type="dxa"/>
            <w:vMerge w:val="continue"/>
            <w:tcBorders>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25</w:t>
            </w:r>
          </w:p>
        </w:tc>
        <w:tc>
          <w:tcPr>
            <w:tcW w:w="6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防有害生物</w:t>
            </w:r>
            <w:r>
              <w:rPr>
                <w:rStyle w:val="11"/>
                <w:rFonts w:hint="eastAsia" w:ascii="仿宋" w:hAnsi="仿宋" w:eastAsia="仿宋" w:cs="仿宋"/>
                <w:i w:val="0"/>
                <w:color w:val="000000"/>
                <w:sz w:val="24"/>
                <w:szCs w:val="24"/>
                <w:lang w:val="en-US" w:eastAsia="zh-CN" w:bidi="ar"/>
              </w:rPr>
              <w:br w:type="textWrapping"/>
            </w:r>
            <w:r>
              <w:rPr>
                <w:rStyle w:val="11"/>
                <w:rFonts w:hint="eastAsia" w:ascii="仿宋" w:hAnsi="仿宋" w:eastAsia="仿宋" w:cs="仿宋"/>
                <w:i w:val="0"/>
                <w:color w:val="000000"/>
                <w:sz w:val="24"/>
                <w:szCs w:val="24"/>
                <w:lang w:val="en-US" w:eastAsia="zh-CN" w:bidi="ar"/>
              </w:rPr>
              <w:t>设施</w:t>
            </w: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2501</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根据就餐区布局、面积合理使用防虫、防鼠等设施，场所</w:t>
            </w:r>
            <w:r>
              <w:rPr>
                <w:rFonts w:hint="eastAsia" w:ascii="仿宋" w:hAnsi="仿宋" w:cs="仿宋"/>
                <w:i w:val="0"/>
                <w:color w:val="000000"/>
                <w:kern w:val="0"/>
                <w:sz w:val="21"/>
                <w:szCs w:val="21"/>
                <w:u w:val="none"/>
                <w:lang w:val="en-US" w:eastAsia="zh-CN" w:bidi="ar"/>
              </w:rPr>
              <w:t>内</w:t>
            </w:r>
            <w:r>
              <w:rPr>
                <w:rFonts w:hint="eastAsia" w:ascii="仿宋" w:hAnsi="仿宋" w:eastAsia="仿宋" w:cs="仿宋"/>
                <w:i w:val="0"/>
                <w:color w:val="000000"/>
                <w:kern w:val="0"/>
                <w:sz w:val="21"/>
                <w:szCs w:val="21"/>
                <w:u w:val="none"/>
                <w:lang w:val="en-US" w:eastAsia="zh-CN" w:bidi="ar"/>
              </w:rPr>
              <w:t>无苍蝇、老鼠、蟑螂等</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50" w:hRule="atLeast"/>
          <w:jc w:val="center"/>
        </w:trPr>
        <w:tc>
          <w:tcPr>
            <w:tcW w:w="660" w:type="dxa"/>
            <w:vMerge w:val="restart"/>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餐用具清洗消毒保洁区</w:t>
            </w:r>
          </w:p>
        </w:tc>
        <w:tc>
          <w:tcPr>
            <w:tcW w:w="4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26</w:t>
            </w:r>
          </w:p>
        </w:tc>
        <w:tc>
          <w:tcPr>
            <w:tcW w:w="6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清洗</w:t>
            </w: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2601</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有专用的餐用具清洗消毒水池，与食品原料、清洁用具及接触非直接入口食品的工具、容器清洗水池分开</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2"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2602</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洗涤剂、消毒剂的包装标识</w:t>
            </w:r>
            <w:r>
              <w:rPr>
                <w:rFonts w:hint="eastAsia" w:ascii="仿宋" w:hAnsi="仿宋" w:cs="仿宋"/>
                <w:i w:val="0"/>
                <w:color w:val="000000"/>
                <w:kern w:val="0"/>
                <w:sz w:val="21"/>
                <w:szCs w:val="21"/>
                <w:u w:val="none"/>
                <w:lang w:val="en-US" w:eastAsia="zh-CN" w:bidi="ar"/>
              </w:rPr>
              <w:t>应</w:t>
            </w:r>
            <w:r>
              <w:rPr>
                <w:rFonts w:hint="eastAsia" w:ascii="仿宋" w:hAnsi="仿宋" w:eastAsia="仿宋" w:cs="仿宋"/>
                <w:i w:val="0"/>
                <w:color w:val="000000"/>
                <w:kern w:val="0"/>
                <w:sz w:val="21"/>
                <w:szCs w:val="21"/>
                <w:u w:val="none"/>
                <w:lang w:val="en-US" w:eastAsia="zh-CN" w:bidi="ar"/>
              </w:rPr>
              <w:t>有产品名称、生产厂名和厂址等内容</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2"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27</w:t>
            </w:r>
          </w:p>
        </w:tc>
        <w:tc>
          <w:tcPr>
            <w:tcW w:w="6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消毒</w:t>
            </w: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2701</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★采用物理消毒的，消毒设备正常运转，消毒温度和时间符合相关要求</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54"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2702</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★采用化学消毒的，配有含氯等消毒剂和水池等消毒设施设备，消毒液配制行为和消毒液浓度符合相关要求</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64"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28</w:t>
            </w:r>
          </w:p>
        </w:tc>
        <w:tc>
          <w:tcPr>
            <w:tcW w:w="6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保洁</w:t>
            </w: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2801</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餐用具和盛放直接入口食品的容器用后洗净、消毒，保持清洁，存放在清洁、专用、密闭的保洁设施中，并有明显区分标识</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24"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2802</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使用敞开式货架存放餐用具，应采取防护措施</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0"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2803</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集中消毒餐饮具的采购、包装符合要求</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2" w:hRule="atLeast"/>
          <w:jc w:val="center"/>
        </w:trPr>
        <w:tc>
          <w:tcPr>
            <w:tcW w:w="660" w:type="dxa"/>
            <w:vMerge w:val="restart"/>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个人卫生设施和卫生间</w:t>
            </w:r>
          </w:p>
        </w:tc>
        <w:tc>
          <w:tcPr>
            <w:tcW w:w="4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29</w:t>
            </w:r>
          </w:p>
        </w:tc>
        <w:tc>
          <w:tcPr>
            <w:tcW w:w="6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洗手</w:t>
            </w:r>
            <w:r>
              <w:rPr>
                <w:rStyle w:val="11"/>
                <w:rFonts w:hint="eastAsia" w:ascii="仿宋" w:hAnsi="仿宋" w:eastAsia="仿宋" w:cs="仿宋"/>
                <w:i w:val="0"/>
                <w:color w:val="000000"/>
                <w:sz w:val="24"/>
                <w:szCs w:val="24"/>
                <w:lang w:val="en-US" w:eastAsia="zh-CN" w:bidi="ar"/>
              </w:rPr>
              <w:br w:type="textWrapping"/>
            </w:r>
            <w:r>
              <w:rPr>
                <w:rStyle w:val="11"/>
                <w:rFonts w:hint="eastAsia" w:ascii="仿宋" w:hAnsi="仿宋" w:eastAsia="仿宋" w:cs="仿宋"/>
                <w:i w:val="0"/>
                <w:color w:val="000000"/>
                <w:sz w:val="24"/>
                <w:szCs w:val="24"/>
                <w:lang w:val="en-US" w:eastAsia="zh-CN" w:bidi="ar"/>
              </w:rPr>
              <w:t>设施</w:t>
            </w: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2901</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★食品处理区有数量充足、运转正常的洗手消毒设施</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2</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2"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2902</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从业人员专用洗手设施附近应有洗手方法标识</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2"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30</w:t>
            </w:r>
          </w:p>
        </w:tc>
        <w:tc>
          <w:tcPr>
            <w:tcW w:w="6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更衣</w:t>
            </w:r>
            <w:r>
              <w:rPr>
                <w:rStyle w:val="11"/>
                <w:rFonts w:hint="eastAsia" w:ascii="仿宋" w:hAnsi="仿宋" w:eastAsia="仿宋" w:cs="仿宋"/>
                <w:i w:val="0"/>
                <w:color w:val="000000"/>
                <w:sz w:val="24"/>
                <w:szCs w:val="24"/>
                <w:lang w:val="en-US" w:eastAsia="zh-CN" w:bidi="ar"/>
              </w:rPr>
              <w:br w:type="textWrapping"/>
            </w:r>
            <w:r>
              <w:rPr>
                <w:rStyle w:val="11"/>
                <w:rFonts w:hint="eastAsia" w:ascii="仿宋" w:hAnsi="仿宋" w:eastAsia="仿宋" w:cs="仿宋"/>
                <w:i w:val="0"/>
                <w:color w:val="000000"/>
                <w:sz w:val="24"/>
                <w:szCs w:val="24"/>
                <w:lang w:val="en-US" w:eastAsia="zh-CN" w:bidi="ar"/>
              </w:rPr>
              <w:t>设施</w:t>
            </w: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3001</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更衣区应与食品处理区处于同一建筑物内，空间、设施满足需要</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07"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31</w:t>
            </w:r>
          </w:p>
        </w:tc>
        <w:tc>
          <w:tcPr>
            <w:tcW w:w="6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卫生间</w:t>
            </w: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3101</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卫生间不得设置在食品处理区内，卫生间出入口不应直对食品处理区，与外界直接相通的门能自动关闭</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2"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color w:val="000000"/>
                <w:sz w:val="28"/>
                <w:szCs w:val="28"/>
                <w:u w:val="none"/>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color w:val="000000"/>
                <w:sz w:val="24"/>
                <w:szCs w:val="24"/>
                <w:u w:val="none"/>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color w:val="000000"/>
                <w:sz w:val="24"/>
                <w:szCs w:val="24"/>
                <w:u w:val="none"/>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3102</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卫生间具有独立排风系统和照明，定期清理，保持清洁、卫生</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00" w:hRule="atLeast"/>
          <w:jc w:val="center"/>
        </w:trPr>
        <w:tc>
          <w:tcPr>
            <w:tcW w:w="660" w:type="dxa"/>
            <w:vMerge w:val="continue"/>
            <w:tcBorders>
              <w:top w:val="single" w:color="auto" w:sz="4" w:space="0"/>
              <w:left w:val="single" w:color="auto" w:sz="8" w:space="0"/>
              <w:bottom w:val="single" w:color="auto" w:sz="8"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color w:val="000000"/>
                <w:sz w:val="28"/>
                <w:szCs w:val="28"/>
                <w:u w:val="none"/>
              </w:rPr>
            </w:pPr>
          </w:p>
        </w:tc>
        <w:tc>
          <w:tcPr>
            <w:tcW w:w="400" w:type="dxa"/>
            <w:vMerge w:val="continue"/>
            <w:tcBorders>
              <w:top w:val="single" w:color="auto" w:sz="4" w:space="0"/>
              <w:left w:val="single" w:color="auto" w:sz="4" w:space="0"/>
              <w:bottom w:val="single" w:color="auto" w:sz="8"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color w:val="000000"/>
                <w:sz w:val="24"/>
                <w:szCs w:val="24"/>
                <w:u w:val="none"/>
              </w:rPr>
            </w:pPr>
          </w:p>
        </w:tc>
        <w:tc>
          <w:tcPr>
            <w:tcW w:w="600" w:type="dxa"/>
            <w:vMerge w:val="continue"/>
            <w:tcBorders>
              <w:top w:val="single" w:color="auto" w:sz="4" w:space="0"/>
              <w:left w:val="single" w:color="auto" w:sz="4" w:space="0"/>
              <w:bottom w:val="single" w:color="auto" w:sz="8"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color w:val="000000"/>
                <w:sz w:val="24"/>
                <w:szCs w:val="24"/>
                <w:u w:val="none"/>
              </w:rPr>
            </w:pPr>
          </w:p>
        </w:tc>
        <w:tc>
          <w:tcPr>
            <w:tcW w:w="550" w:type="dxa"/>
            <w:tcBorders>
              <w:top w:val="single" w:color="auto" w:sz="4" w:space="0"/>
              <w:left w:val="single" w:color="auto" w:sz="4" w:space="0"/>
              <w:bottom w:val="single" w:color="auto" w:sz="8"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3103</w:t>
            </w:r>
          </w:p>
        </w:tc>
        <w:tc>
          <w:tcPr>
            <w:tcW w:w="4260" w:type="dxa"/>
            <w:tcBorders>
              <w:top w:val="single" w:color="auto" w:sz="4" w:space="0"/>
              <w:left w:val="single" w:color="auto" w:sz="4" w:space="0"/>
              <w:bottom w:val="single" w:color="auto" w:sz="8" w:space="0"/>
              <w:right w:val="single" w:color="auto"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卫生间出口附近设有洗手、干手设施</w:t>
            </w:r>
          </w:p>
        </w:tc>
        <w:tc>
          <w:tcPr>
            <w:tcW w:w="1180" w:type="dxa"/>
            <w:tcBorders>
              <w:top w:val="single" w:color="auto" w:sz="4" w:space="0"/>
              <w:left w:val="single" w:color="auto" w:sz="4" w:space="0"/>
              <w:bottom w:val="single" w:color="auto" w:sz="8"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8"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8"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8"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72" w:hRule="atLeast"/>
          <w:jc w:val="center"/>
        </w:trPr>
        <w:tc>
          <w:tcPr>
            <w:tcW w:w="660" w:type="dxa"/>
            <w:tcBorders>
              <w:top w:val="single" w:color="auto" w:sz="8"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重点检查点位</w:t>
            </w:r>
          </w:p>
        </w:tc>
        <w:tc>
          <w:tcPr>
            <w:tcW w:w="400" w:type="dxa"/>
            <w:tcBorders>
              <w:top w:val="single" w:color="auto" w:sz="8"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项目序号</w:t>
            </w:r>
          </w:p>
        </w:tc>
        <w:tc>
          <w:tcPr>
            <w:tcW w:w="600" w:type="dxa"/>
            <w:tcBorders>
              <w:top w:val="single" w:color="auto" w:sz="8"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项目</w:t>
            </w:r>
            <w:r>
              <w:rPr>
                <w:rFonts w:hint="eastAsia" w:ascii="黑体" w:hAnsi="宋体" w:eastAsia="黑体" w:cs="黑体"/>
                <w:i w:val="0"/>
                <w:color w:val="000000"/>
                <w:kern w:val="0"/>
                <w:sz w:val="24"/>
                <w:szCs w:val="24"/>
                <w:u w:val="none"/>
                <w:lang w:val="en-US" w:eastAsia="zh-CN" w:bidi="ar"/>
              </w:rPr>
              <w:br w:type="textWrapping"/>
            </w:r>
            <w:r>
              <w:rPr>
                <w:rFonts w:hint="eastAsia" w:ascii="黑体" w:hAnsi="宋体" w:eastAsia="黑体" w:cs="黑体"/>
                <w:i w:val="0"/>
                <w:color w:val="000000"/>
                <w:kern w:val="0"/>
                <w:sz w:val="24"/>
                <w:szCs w:val="24"/>
                <w:u w:val="none"/>
                <w:lang w:val="en-US" w:eastAsia="zh-CN" w:bidi="ar"/>
              </w:rPr>
              <w:t>类别</w:t>
            </w:r>
          </w:p>
        </w:tc>
        <w:tc>
          <w:tcPr>
            <w:tcW w:w="550" w:type="dxa"/>
            <w:tcBorders>
              <w:top w:val="single" w:color="auto" w:sz="8"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具体项目</w:t>
            </w:r>
          </w:p>
        </w:tc>
        <w:tc>
          <w:tcPr>
            <w:tcW w:w="4260" w:type="dxa"/>
            <w:tcBorders>
              <w:top w:val="single" w:color="auto" w:sz="8"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检查内容</w:t>
            </w:r>
          </w:p>
        </w:tc>
        <w:tc>
          <w:tcPr>
            <w:tcW w:w="1180" w:type="dxa"/>
            <w:tcBorders>
              <w:top w:val="single" w:color="auto" w:sz="8"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检查结果</w:t>
            </w:r>
          </w:p>
        </w:tc>
        <w:tc>
          <w:tcPr>
            <w:tcW w:w="400" w:type="dxa"/>
            <w:tcBorders>
              <w:top w:val="single" w:color="auto" w:sz="8"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分值</w:t>
            </w:r>
          </w:p>
        </w:tc>
        <w:tc>
          <w:tcPr>
            <w:tcW w:w="400" w:type="dxa"/>
            <w:tcBorders>
              <w:top w:val="single" w:color="auto" w:sz="8"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得分</w:t>
            </w:r>
          </w:p>
        </w:tc>
        <w:tc>
          <w:tcPr>
            <w:tcW w:w="400" w:type="dxa"/>
            <w:tcBorders>
              <w:top w:val="single" w:color="auto" w:sz="8"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65" w:hRule="exact"/>
          <w:jc w:val="center"/>
        </w:trPr>
        <w:tc>
          <w:tcPr>
            <w:tcW w:w="660" w:type="dxa"/>
            <w:vMerge w:val="restart"/>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配送</w:t>
            </w:r>
            <w:r>
              <w:rPr>
                <w:rStyle w:val="11"/>
                <w:rFonts w:hint="eastAsia" w:ascii="仿宋" w:hAnsi="仿宋" w:eastAsia="仿宋" w:cs="仿宋"/>
                <w:i w:val="0"/>
                <w:color w:val="000000"/>
                <w:sz w:val="24"/>
                <w:szCs w:val="24"/>
                <w:lang w:val="en-US" w:eastAsia="zh-CN" w:bidi="ar"/>
              </w:rPr>
              <w:br w:type="textWrapping"/>
            </w:r>
            <w:r>
              <w:rPr>
                <w:rStyle w:val="11"/>
                <w:rFonts w:hint="eastAsia" w:ascii="仿宋" w:hAnsi="仿宋" w:eastAsia="仿宋" w:cs="仿宋"/>
                <w:i w:val="0"/>
                <w:color w:val="000000"/>
                <w:sz w:val="24"/>
                <w:szCs w:val="24"/>
                <w:lang w:val="en-US" w:eastAsia="zh-CN" w:bidi="ar"/>
              </w:rPr>
              <w:br w:type="textWrapping"/>
            </w:r>
            <w:r>
              <w:rPr>
                <w:rStyle w:val="11"/>
                <w:rFonts w:hint="eastAsia" w:ascii="仿宋" w:hAnsi="仿宋" w:eastAsia="仿宋" w:cs="仿宋"/>
                <w:i w:val="0"/>
                <w:color w:val="000000"/>
                <w:sz w:val="24"/>
                <w:szCs w:val="24"/>
                <w:lang w:val="en-US" w:eastAsia="zh-CN" w:bidi="ar"/>
              </w:rPr>
              <w:t>□</w:t>
            </w:r>
            <w:r>
              <w:rPr>
                <w:rStyle w:val="11"/>
                <w:rFonts w:hint="eastAsia" w:ascii="楷体" w:hAnsi="楷体" w:eastAsia="楷体" w:cs="楷体"/>
                <w:i w:val="0"/>
                <w:color w:val="000000"/>
                <w:sz w:val="24"/>
                <w:szCs w:val="24"/>
                <w:lang w:val="en-US" w:eastAsia="zh-CN" w:bidi="ar"/>
              </w:rPr>
              <w:t>合理缺项</w:t>
            </w:r>
          </w:p>
        </w:tc>
        <w:tc>
          <w:tcPr>
            <w:tcW w:w="4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32</w:t>
            </w:r>
          </w:p>
        </w:tc>
        <w:tc>
          <w:tcPr>
            <w:tcW w:w="6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设施</w:t>
            </w:r>
            <w:r>
              <w:rPr>
                <w:rStyle w:val="11"/>
                <w:rFonts w:hint="eastAsia" w:ascii="仿宋" w:hAnsi="仿宋" w:eastAsia="仿宋" w:cs="仿宋"/>
                <w:i w:val="0"/>
                <w:color w:val="000000"/>
                <w:sz w:val="24"/>
                <w:szCs w:val="24"/>
                <w:lang w:val="en-US" w:eastAsia="zh-CN" w:bidi="ar"/>
              </w:rPr>
              <w:br w:type="textWrapping"/>
            </w:r>
            <w:r>
              <w:rPr>
                <w:rStyle w:val="11"/>
                <w:rFonts w:hint="eastAsia" w:ascii="仿宋" w:hAnsi="仿宋" w:eastAsia="仿宋" w:cs="仿宋"/>
                <w:i w:val="0"/>
                <w:color w:val="000000"/>
                <w:sz w:val="24"/>
                <w:szCs w:val="24"/>
                <w:lang w:val="en-US" w:eastAsia="zh-CN" w:bidi="ar"/>
              </w:rPr>
              <w:t>设备</w:t>
            </w: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3201</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贮存、运输对温度、湿度等有特殊要求的食品，具备保温、冷</w:t>
            </w:r>
            <w:r>
              <w:rPr>
                <w:rFonts w:hint="eastAsia" w:ascii="仿宋" w:hAnsi="仿宋" w:cs="仿宋"/>
                <w:i w:val="0"/>
                <w:color w:val="000000"/>
                <w:kern w:val="0"/>
                <w:sz w:val="21"/>
                <w:szCs w:val="21"/>
                <w:u w:val="none"/>
                <w:lang w:val="en-US" w:eastAsia="zh-CN" w:bidi="ar"/>
              </w:rPr>
              <w:t>冻（</w:t>
            </w:r>
            <w:r>
              <w:rPr>
                <w:rFonts w:hint="eastAsia" w:ascii="仿宋" w:hAnsi="仿宋" w:eastAsia="仿宋" w:cs="仿宋"/>
                <w:i w:val="0"/>
                <w:color w:val="000000"/>
                <w:kern w:val="0"/>
                <w:sz w:val="21"/>
                <w:szCs w:val="21"/>
                <w:u w:val="none"/>
                <w:lang w:val="en-US" w:eastAsia="zh-CN" w:bidi="ar"/>
              </w:rPr>
              <w:t>藏</w:t>
            </w:r>
            <w:r>
              <w:rPr>
                <w:rFonts w:hint="eastAsia" w:ascii="仿宋" w:hAnsi="仿宋" w:cs="仿宋"/>
                <w:i w:val="0"/>
                <w:color w:val="000000"/>
                <w:kern w:val="0"/>
                <w:sz w:val="21"/>
                <w:szCs w:val="21"/>
                <w:u w:val="none"/>
                <w:lang w:val="en-US" w:eastAsia="zh-CN" w:bidi="ar"/>
              </w:rPr>
              <w:t>）</w:t>
            </w:r>
            <w:r>
              <w:rPr>
                <w:rFonts w:hint="eastAsia" w:ascii="仿宋" w:hAnsi="仿宋" w:eastAsia="仿宋" w:cs="仿宋"/>
                <w:i w:val="0"/>
                <w:color w:val="000000"/>
                <w:kern w:val="0"/>
                <w:sz w:val="21"/>
                <w:szCs w:val="21"/>
                <w:u w:val="none"/>
                <w:lang w:val="en-US" w:eastAsia="zh-CN" w:bidi="ar"/>
              </w:rPr>
              <w:t>等设施</w:t>
            </w:r>
            <w:r>
              <w:rPr>
                <w:rFonts w:hint="eastAsia" w:ascii="仿宋" w:hAnsi="仿宋" w:cs="仿宋"/>
                <w:i w:val="0"/>
                <w:color w:val="000000"/>
                <w:kern w:val="0"/>
                <w:sz w:val="21"/>
                <w:szCs w:val="21"/>
                <w:u w:val="none"/>
                <w:lang w:val="en-US" w:eastAsia="zh-CN" w:bidi="ar"/>
              </w:rPr>
              <w:t>设备</w:t>
            </w:r>
            <w:r>
              <w:rPr>
                <w:rFonts w:hint="eastAsia" w:ascii="仿宋" w:hAnsi="仿宋" w:eastAsia="仿宋" w:cs="仿宋"/>
                <w:i w:val="0"/>
                <w:color w:val="000000"/>
                <w:kern w:val="0"/>
                <w:sz w:val="21"/>
                <w:szCs w:val="21"/>
                <w:u w:val="none"/>
                <w:lang w:val="en-US" w:eastAsia="zh-CN" w:bidi="ar"/>
              </w:rPr>
              <w:t>，并保持有效运行</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10"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3202</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★用专用密闭容器和车辆配送食品，不得与运输杀虫剂、杀鼠剂等有毒有害物品的车辆混用</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2</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10"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3203</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配送前，清洗消毒盛放食品成品的容器（一次性容器除外）</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01"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33</w:t>
            </w:r>
          </w:p>
        </w:tc>
        <w:tc>
          <w:tcPr>
            <w:tcW w:w="6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配送</w:t>
            </w:r>
            <w:r>
              <w:rPr>
                <w:rStyle w:val="11"/>
                <w:rFonts w:hint="eastAsia" w:ascii="仿宋" w:hAnsi="仿宋" w:eastAsia="仿宋" w:cs="仿宋"/>
                <w:i w:val="0"/>
                <w:color w:val="000000"/>
                <w:sz w:val="24"/>
                <w:szCs w:val="24"/>
                <w:lang w:val="en-US" w:eastAsia="zh-CN" w:bidi="ar"/>
              </w:rPr>
              <w:br w:type="textWrapping"/>
            </w:r>
            <w:r>
              <w:rPr>
                <w:rStyle w:val="11"/>
                <w:rFonts w:hint="eastAsia" w:ascii="仿宋" w:hAnsi="仿宋" w:eastAsia="仿宋" w:cs="仿宋"/>
                <w:i w:val="0"/>
                <w:color w:val="000000"/>
                <w:sz w:val="24"/>
                <w:szCs w:val="24"/>
                <w:lang w:val="en-US" w:eastAsia="zh-CN" w:bidi="ar"/>
              </w:rPr>
              <w:t>条件</w:t>
            </w:r>
            <w:r>
              <w:rPr>
                <w:rStyle w:val="11"/>
                <w:rFonts w:hint="eastAsia" w:ascii="仿宋" w:hAnsi="仿宋" w:eastAsia="仿宋" w:cs="仿宋"/>
                <w:i w:val="0"/>
                <w:color w:val="000000"/>
                <w:sz w:val="24"/>
                <w:szCs w:val="24"/>
                <w:lang w:val="en-US" w:eastAsia="zh-CN" w:bidi="ar"/>
              </w:rPr>
              <w:br w:type="textWrapping"/>
            </w:r>
            <w:r>
              <w:rPr>
                <w:rStyle w:val="11"/>
                <w:rFonts w:hint="eastAsia" w:ascii="仿宋" w:hAnsi="仿宋" w:eastAsia="仿宋" w:cs="仿宋"/>
                <w:i w:val="0"/>
                <w:color w:val="000000"/>
                <w:sz w:val="24"/>
                <w:szCs w:val="24"/>
                <w:lang w:val="en-US" w:eastAsia="zh-CN" w:bidi="ar"/>
              </w:rPr>
              <w:t>要求</w:t>
            </w: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3301</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食品的配送温度和湿度符合食品安全要求。高危易腐食品采取低温保存措施</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10" w:hRule="exac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34</w:t>
            </w:r>
          </w:p>
        </w:tc>
        <w:tc>
          <w:tcPr>
            <w:tcW w:w="6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人员</w:t>
            </w:r>
            <w:r>
              <w:rPr>
                <w:rStyle w:val="11"/>
                <w:rFonts w:hint="eastAsia" w:ascii="仿宋" w:hAnsi="仿宋" w:eastAsia="仿宋" w:cs="仿宋"/>
                <w:i w:val="0"/>
                <w:color w:val="000000"/>
                <w:sz w:val="24"/>
                <w:szCs w:val="24"/>
                <w:lang w:val="en-US" w:eastAsia="zh-CN" w:bidi="ar"/>
              </w:rPr>
              <w:br w:type="textWrapping"/>
            </w:r>
            <w:r>
              <w:rPr>
                <w:rStyle w:val="11"/>
                <w:rFonts w:hint="eastAsia" w:ascii="仿宋" w:hAnsi="仿宋" w:eastAsia="仿宋" w:cs="仿宋"/>
                <w:i w:val="0"/>
                <w:color w:val="000000"/>
                <w:sz w:val="24"/>
                <w:szCs w:val="24"/>
                <w:lang w:val="en-US" w:eastAsia="zh-CN" w:bidi="ar"/>
              </w:rPr>
              <w:t>管理</w:t>
            </w: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3401</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送餐人员个人卫生良好</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10" w:hRule="atLeast"/>
          <w:jc w:val="center"/>
        </w:trPr>
        <w:tc>
          <w:tcPr>
            <w:tcW w:w="660" w:type="dxa"/>
            <w:vMerge w:val="restart"/>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文件保存区</w:t>
            </w:r>
          </w:p>
        </w:tc>
        <w:tc>
          <w:tcPr>
            <w:tcW w:w="4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35</w:t>
            </w:r>
          </w:p>
        </w:tc>
        <w:tc>
          <w:tcPr>
            <w:tcW w:w="6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食品</w:t>
            </w:r>
            <w:r>
              <w:rPr>
                <w:rStyle w:val="11"/>
                <w:rFonts w:hint="eastAsia" w:ascii="仿宋" w:hAnsi="仿宋" w:eastAsia="仿宋" w:cs="仿宋"/>
                <w:i w:val="0"/>
                <w:color w:val="000000"/>
                <w:sz w:val="24"/>
                <w:szCs w:val="24"/>
                <w:lang w:val="en-US" w:eastAsia="zh-CN" w:bidi="ar"/>
              </w:rPr>
              <w:br w:type="textWrapping"/>
            </w:r>
            <w:r>
              <w:rPr>
                <w:rStyle w:val="11"/>
                <w:rFonts w:hint="eastAsia" w:ascii="仿宋" w:hAnsi="仿宋" w:eastAsia="仿宋" w:cs="仿宋"/>
                <w:i w:val="0"/>
                <w:color w:val="000000"/>
                <w:sz w:val="24"/>
                <w:szCs w:val="24"/>
                <w:lang w:val="en-US" w:eastAsia="zh-CN" w:bidi="ar"/>
              </w:rPr>
              <w:t>安全</w:t>
            </w:r>
            <w:r>
              <w:rPr>
                <w:rStyle w:val="11"/>
                <w:rFonts w:hint="eastAsia" w:ascii="仿宋" w:hAnsi="仿宋" w:eastAsia="仿宋" w:cs="仿宋"/>
                <w:i w:val="0"/>
                <w:color w:val="000000"/>
                <w:sz w:val="24"/>
                <w:szCs w:val="24"/>
                <w:lang w:val="en-US" w:eastAsia="zh-CN" w:bidi="ar"/>
              </w:rPr>
              <w:br w:type="textWrapping"/>
            </w:r>
            <w:r>
              <w:rPr>
                <w:rStyle w:val="11"/>
                <w:rFonts w:hint="eastAsia" w:ascii="仿宋" w:hAnsi="仿宋" w:eastAsia="仿宋" w:cs="仿宋"/>
                <w:i w:val="0"/>
                <w:color w:val="000000"/>
                <w:sz w:val="24"/>
                <w:szCs w:val="24"/>
                <w:lang w:val="en-US" w:eastAsia="zh-CN" w:bidi="ar"/>
              </w:rPr>
              <w:t>相关</w:t>
            </w:r>
            <w:r>
              <w:rPr>
                <w:rStyle w:val="11"/>
                <w:rFonts w:hint="eastAsia" w:ascii="仿宋" w:hAnsi="仿宋" w:eastAsia="仿宋" w:cs="仿宋"/>
                <w:i w:val="0"/>
                <w:color w:val="000000"/>
                <w:sz w:val="24"/>
                <w:szCs w:val="24"/>
                <w:lang w:val="en-US" w:eastAsia="zh-CN" w:bidi="ar"/>
              </w:rPr>
              <w:br w:type="textWrapping"/>
            </w:r>
            <w:r>
              <w:rPr>
                <w:rStyle w:val="11"/>
                <w:rFonts w:hint="eastAsia" w:ascii="仿宋" w:hAnsi="仿宋" w:eastAsia="仿宋" w:cs="仿宋"/>
                <w:i w:val="0"/>
                <w:color w:val="000000"/>
                <w:sz w:val="24"/>
                <w:szCs w:val="24"/>
                <w:lang w:val="en-US" w:eastAsia="zh-CN" w:bidi="ar"/>
              </w:rPr>
              <w:t>制度及记录</w:t>
            </w: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3501</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★有食品安全管理制度（包含人员健康管理、食品安全自查、进货查验、食品召回等内容）</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2</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3502</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★有食品安全事故处置方案</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2</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3503</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有食品安全追溯体系</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3504</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有设施设备清洗维护校验记录</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3505</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有食品安全自查记录（每月一次）</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3506</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有餐厨废弃物处置记录</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10"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36</w:t>
            </w:r>
          </w:p>
        </w:tc>
        <w:tc>
          <w:tcPr>
            <w:tcW w:w="6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采购</w:t>
            </w:r>
            <w:r>
              <w:rPr>
                <w:rStyle w:val="11"/>
                <w:rFonts w:hint="eastAsia" w:ascii="仿宋" w:hAnsi="仿宋" w:eastAsia="仿宋" w:cs="仿宋"/>
                <w:i w:val="0"/>
                <w:color w:val="000000"/>
                <w:sz w:val="24"/>
                <w:szCs w:val="24"/>
                <w:lang w:val="en-US" w:eastAsia="zh-CN" w:bidi="ar"/>
              </w:rPr>
              <w:br w:type="textWrapping"/>
            </w:r>
            <w:r>
              <w:rPr>
                <w:rStyle w:val="11"/>
                <w:rFonts w:hint="eastAsia" w:ascii="仿宋" w:hAnsi="仿宋" w:eastAsia="仿宋" w:cs="仿宋"/>
                <w:i w:val="0"/>
                <w:color w:val="000000"/>
                <w:sz w:val="24"/>
                <w:szCs w:val="24"/>
                <w:lang w:val="en-US" w:eastAsia="zh-CN" w:bidi="ar"/>
              </w:rPr>
              <w:t>相关</w:t>
            </w:r>
            <w:r>
              <w:rPr>
                <w:rStyle w:val="11"/>
                <w:rFonts w:hint="eastAsia" w:ascii="仿宋" w:hAnsi="仿宋" w:eastAsia="仿宋" w:cs="仿宋"/>
                <w:i w:val="0"/>
                <w:color w:val="000000"/>
                <w:sz w:val="24"/>
                <w:szCs w:val="24"/>
                <w:lang w:val="en-US" w:eastAsia="zh-CN" w:bidi="ar"/>
              </w:rPr>
              <w:br w:type="textWrapping"/>
            </w:r>
            <w:r>
              <w:rPr>
                <w:rStyle w:val="11"/>
                <w:rFonts w:hint="eastAsia" w:ascii="仿宋" w:hAnsi="仿宋" w:eastAsia="仿宋" w:cs="仿宋"/>
                <w:i w:val="0"/>
                <w:color w:val="000000"/>
                <w:sz w:val="24"/>
                <w:szCs w:val="24"/>
                <w:lang w:val="en-US" w:eastAsia="zh-CN" w:bidi="ar"/>
              </w:rPr>
              <w:t>文件</w:t>
            </w:r>
            <w:r>
              <w:rPr>
                <w:rStyle w:val="11"/>
                <w:rFonts w:hint="eastAsia" w:ascii="仿宋" w:hAnsi="仿宋" w:cs="仿宋"/>
                <w:i w:val="0"/>
                <w:color w:val="000000"/>
                <w:sz w:val="24"/>
                <w:szCs w:val="24"/>
                <w:lang w:val="en-US" w:eastAsia="zh-CN" w:bidi="ar"/>
              </w:rPr>
              <w:t>及</w:t>
            </w:r>
            <w:r>
              <w:rPr>
                <w:rStyle w:val="11"/>
                <w:rFonts w:hint="eastAsia" w:ascii="仿宋" w:hAnsi="仿宋" w:eastAsia="仿宋" w:cs="仿宋"/>
                <w:i w:val="0"/>
                <w:color w:val="000000"/>
                <w:sz w:val="24"/>
                <w:szCs w:val="24"/>
                <w:lang w:val="en-US" w:eastAsia="zh-CN" w:bidi="ar"/>
              </w:rPr>
              <w:t>记录</w:t>
            </w: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3601</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★有食品、食品添加剂、食品相关产品的随货证明文件、每笔进货凭证</w:t>
            </w:r>
            <w:r>
              <w:rPr>
                <w:rFonts w:hint="eastAsia" w:ascii="仿宋" w:hAnsi="仿宋" w:cs="仿宋"/>
                <w:i w:val="0"/>
                <w:color w:val="000000"/>
                <w:kern w:val="0"/>
                <w:sz w:val="21"/>
                <w:szCs w:val="21"/>
                <w:u w:val="none"/>
                <w:lang w:val="en-US" w:eastAsia="zh-CN" w:bidi="ar"/>
              </w:rPr>
              <w:t>和</w:t>
            </w:r>
            <w:r>
              <w:rPr>
                <w:rFonts w:hint="eastAsia" w:ascii="仿宋" w:hAnsi="仿宋" w:eastAsia="仿宋" w:cs="仿宋"/>
                <w:i w:val="0"/>
                <w:color w:val="000000"/>
                <w:kern w:val="0"/>
                <w:sz w:val="21"/>
                <w:szCs w:val="21"/>
                <w:u w:val="none"/>
                <w:lang w:val="en-US" w:eastAsia="zh-CN" w:bidi="ar"/>
              </w:rPr>
              <w:t>完整进货查验记录</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2</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10"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3602</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采购畜禽肉类的，有动物产品检疫合格证明；采购猪肉的，还应有肉品品质检验合格证明</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10" w:hRule="atLeas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3603</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采购、使用集中消毒餐饮具的，有集中消毒餐饮具企业的营业执照和产品的消毒合格证明</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10" w:hRule="exac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37</w:t>
            </w:r>
          </w:p>
        </w:tc>
        <w:tc>
          <w:tcPr>
            <w:tcW w:w="60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人员</w:t>
            </w:r>
            <w:r>
              <w:rPr>
                <w:rStyle w:val="11"/>
                <w:rFonts w:hint="eastAsia" w:ascii="仿宋" w:hAnsi="仿宋" w:eastAsia="仿宋" w:cs="仿宋"/>
                <w:i w:val="0"/>
                <w:color w:val="000000"/>
                <w:sz w:val="24"/>
                <w:szCs w:val="24"/>
                <w:lang w:val="en-US" w:eastAsia="zh-CN" w:bidi="ar"/>
              </w:rPr>
              <w:br w:type="textWrapping"/>
            </w:r>
            <w:r>
              <w:rPr>
                <w:rStyle w:val="11"/>
                <w:rFonts w:hint="eastAsia" w:ascii="仿宋" w:hAnsi="仿宋" w:eastAsia="仿宋" w:cs="仿宋"/>
                <w:i w:val="0"/>
                <w:color w:val="000000"/>
                <w:sz w:val="24"/>
                <w:szCs w:val="24"/>
                <w:lang w:val="en-US" w:eastAsia="zh-CN" w:bidi="ar"/>
              </w:rPr>
              <w:t>管理</w:t>
            </w:r>
            <w:r>
              <w:rPr>
                <w:rStyle w:val="11"/>
                <w:rFonts w:hint="eastAsia" w:ascii="仿宋" w:hAnsi="仿宋" w:eastAsia="仿宋" w:cs="仿宋"/>
                <w:i w:val="0"/>
                <w:color w:val="000000"/>
                <w:sz w:val="24"/>
                <w:szCs w:val="24"/>
                <w:lang w:val="en-US" w:eastAsia="zh-CN" w:bidi="ar"/>
              </w:rPr>
              <w:br w:type="textWrapping"/>
            </w:r>
            <w:r>
              <w:rPr>
                <w:rStyle w:val="11"/>
                <w:rFonts w:hint="eastAsia" w:ascii="仿宋" w:hAnsi="仿宋" w:eastAsia="仿宋" w:cs="仿宋"/>
                <w:i w:val="0"/>
                <w:color w:val="000000"/>
                <w:sz w:val="24"/>
                <w:szCs w:val="24"/>
                <w:lang w:val="en-US" w:eastAsia="zh-CN" w:bidi="ar"/>
              </w:rPr>
              <w:t>相关</w:t>
            </w:r>
            <w:r>
              <w:rPr>
                <w:rStyle w:val="11"/>
                <w:rFonts w:hint="eastAsia" w:ascii="仿宋" w:hAnsi="仿宋" w:eastAsia="仿宋" w:cs="仿宋"/>
                <w:i w:val="0"/>
                <w:color w:val="000000"/>
                <w:sz w:val="24"/>
                <w:szCs w:val="24"/>
                <w:lang w:val="en-US" w:eastAsia="zh-CN" w:bidi="ar"/>
              </w:rPr>
              <w:br w:type="textWrapping"/>
            </w:r>
            <w:r>
              <w:rPr>
                <w:rStyle w:val="11"/>
                <w:rFonts w:hint="eastAsia" w:ascii="仿宋" w:hAnsi="仿宋" w:eastAsia="仿宋" w:cs="仿宋"/>
                <w:i w:val="0"/>
                <w:color w:val="000000"/>
                <w:sz w:val="24"/>
                <w:szCs w:val="24"/>
                <w:lang w:val="en-US" w:eastAsia="zh-CN" w:bidi="ar"/>
              </w:rPr>
              <w:t>文件及记录</w:t>
            </w: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3701</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★明确主要负责人食品安全责任，有食品安全管理机构或管理人员</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2</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10" w:hRule="exac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3702</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★掌握从业人员资质，不得聘用法律法规禁止聘用的人员从事食品安全管理</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2</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10" w:hRule="exac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8"/>
                <w:szCs w:val="28"/>
                <w:u w:val="none"/>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4"/>
                <w:szCs w:val="24"/>
                <w:u w:val="none"/>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4"/>
                <w:szCs w:val="24"/>
                <w:u w:val="none"/>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3703</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★从事接触直接入口食品工作的从业人员持有有效的健康证明</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2</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65" w:hRule="exac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8"/>
                <w:szCs w:val="28"/>
                <w:u w:val="none"/>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4"/>
                <w:szCs w:val="24"/>
                <w:u w:val="none"/>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4"/>
                <w:szCs w:val="24"/>
                <w:u w:val="none"/>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3704</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★有从业人员每日健康检查（晨检）记录，不得安排患有有碍食品安全疾病的人员从事接触直接入口食品</w:t>
            </w:r>
            <w:r>
              <w:rPr>
                <w:rFonts w:hint="eastAsia" w:ascii="仿宋" w:hAnsi="仿宋" w:cs="仿宋"/>
                <w:i w:val="0"/>
                <w:color w:val="000000"/>
                <w:kern w:val="0"/>
                <w:sz w:val="21"/>
                <w:szCs w:val="21"/>
                <w:u w:val="none"/>
                <w:lang w:val="en-US" w:eastAsia="zh-CN" w:bidi="ar"/>
              </w:rPr>
              <w:t>的</w:t>
            </w:r>
            <w:r>
              <w:rPr>
                <w:rFonts w:hint="eastAsia" w:ascii="仿宋" w:hAnsi="仿宋" w:eastAsia="仿宋" w:cs="仿宋"/>
                <w:i w:val="0"/>
                <w:color w:val="000000"/>
                <w:kern w:val="0"/>
                <w:sz w:val="21"/>
                <w:szCs w:val="21"/>
                <w:u w:val="none"/>
                <w:lang w:val="en-US" w:eastAsia="zh-CN" w:bidi="ar"/>
              </w:rPr>
              <w:t>工作</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2</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10" w:hRule="exact"/>
          <w:jc w:val="center"/>
        </w:trPr>
        <w:tc>
          <w:tcPr>
            <w:tcW w:w="660" w:type="dxa"/>
            <w:vMerge w:val="continue"/>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8"/>
                <w:szCs w:val="28"/>
                <w:u w:val="none"/>
              </w:rPr>
            </w:pPr>
          </w:p>
        </w:tc>
        <w:tc>
          <w:tcPr>
            <w:tcW w:w="4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4"/>
                <w:szCs w:val="24"/>
                <w:u w:val="none"/>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color w:val="000000"/>
                <w:sz w:val="24"/>
                <w:szCs w:val="24"/>
                <w:u w:val="none"/>
              </w:rPr>
            </w:pPr>
          </w:p>
        </w:tc>
        <w:tc>
          <w:tcPr>
            <w:tcW w:w="55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3705</w:t>
            </w:r>
          </w:p>
        </w:tc>
        <w:tc>
          <w:tcPr>
            <w:tcW w:w="4260" w:type="dxa"/>
            <w:tcBorders>
              <w:top w:val="single" w:color="auto" w:sz="4" w:space="0"/>
              <w:left w:val="single" w:color="auto" w:sz="4" w:space="0"/>
              <w:bottom w:val="single" w:color="auto" w:sz="4" w:space="0"/>
              <w:right w:val="single" w:color="auto" w:sz="4" w:space="0"/>
            </w:tcBorders>
            <w:shd w:val="clear" w:color="auto" w:fill="auto"/>
            <w:tcMar>
              <w:top w:w="0"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有从业人员食品安全培训考核记录（每年一次）</w:t>
            </w:r>
          </w:p>
        </w:tc>
        <w:tc>
          <w:tcPr>
            <w:tcW w:w="118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c>
          <w:tcPr>
            <w:tcW w:w="400" w:type="dxa"/>
            <w:tcBorders>
              <w:top w:val="single" w:color="auto" w:sz="4" w:space="0"/>
              <w:left w:val="single" w:color="auto" w:sz="4" w:space="0"/>
              <w:bottom w:val="single" w:color="auto" w:sz="4" w:space="0"/>
              <w:right w:val="single" w:color="auto"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i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113" w:hRule="exact"/>
          <w:jc w:val="center"/>
        </w:trPr>
        <w:tc>
          <w:tcPr>
            <w:tcW w:w="660" w:type="dxa"/>
            <w:tcBorders>
              <w:top w:val="single" w:color="auto" w:sz="4" w:space="0"/>
              <w:left w:val="single" w:color="auto" w:sz="8"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合计</w:t>
            </w:r>
          </w:p>
        </w:tc>
        <w:tc>
          <w:tcPr>
            <w:tcW w:w="8190" w:type="dxa"/>
            <w:gridSpan w:val="8"/>
            <w:tcBorders>
              <w:top w:val="single" w:color="auto" w:sz="4" w:space="0"/>
              <w:left w:val="single" w:color="auto" w:sz="4" w:space="0"/>
              <w:bottom w:val="single" w:color="auto" w:sz="4" w:space="0"/>
              <w:right w:val="single" w:color="auto" w:sz="8" w:space="0"/>
            </w:tcBorders>
            <w:shd w:val="clear" w:color="auto" w:fill="auto"/>
            <w:tcMar>
              <w:top w:w="0" w:type="dxa"/>
              <w:left w:w="113" w:type="dxa"/>
              <w:right w:w="113"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    本次实际检查具体项目</w:t>
            </w:r>
            <w:r>
              <w:rPr>
                <w:rFonts w:hint="eastAsia" w:ascii="宋体" w:hAnsi="宋体" w:eastAsia="宋体" w:cs="宋体"/>
                <w:i w:val="0"/>
                <w:color w:val="000000"/>
                <w:kern w:val="0"/>
                <w:sz w:val="21"/>
                <w:szCs w:val="21"/>
                <w:u w:val="single"/>
                <w:lang w:val="en-US" w:eastAsia="zh-CN" w:bidi="ar"/>
              </w:rPr>
              <w:t xml:space="preserve">    </w:t>
            </w:r>
            <w:r>
              <w:rPr>
                <w:rFonts w:hint="eastAsia" w:ascii="宋体" w:hAnsi="宋体" w:eastAsia="宋体" w:cs="宋体"/>
                <w:i w:val="0"/>
                <w:color w:val="000000"/>
                <w:kern w:val="0"/>
                <w:sz w:val="21"/>
                <w:szCs w:val="21"/>
                <w:u w:val="none"/>
                <w:lang w:val="en-US" w:eastAsia="zh-CN" w:bidi="ar"/>
              </w:rPr>
              <w:t>项，其中合格项目</w:t>
            </w:r>
            <w:r>
              <w:rPr>
                <w:rFonts w:hint="eastAsia" w:ascii="宋体" w:hAnsi="宋体" w:eastAsia="宋体" w:cs="宋体"/>
                <w:i w:val="0"/>
                <w:color w:val="000000"/>
                <w:kern w:val="0"/>
                <w:sz w:val="21"/>
                <w:szCs w:val="21"/>
                <w:u w:val="single"/>
                <w:lang w:val="en-US" w:eastAsia="zh-CN" w:bidi="ar"/>
              </w:rPr>
              <w:t xml:space="preserve">    </w:t>
            </w:r>
            <w:r>
              <w:rPr>
                <w:rFonts w:hint="eastAsia" w:ascii="宋体" w:hAnsi="宋体" w:eastAsia="宋体" w:cs="宋体"/>
                <w:i w:val="0"/>
                <w:color w:val="000000"/>
                <w:kern w:val="0"/>
                <w:sz w:val="21"/>
                <w:szCs w:val="21"/>
                <w:u w:val="none"/>
                <w:lang w:val="en-US" w:eastAsia="zh-CN" w:bidi="ar"/>
              </w:rPr>
              <w:t>项，不合格项目</w:t>
            </w:r>
            <w:r>
              <w:rPr>
                <w:rFonts w:hint="eastAsia" w:ascii="宋体" w:hAnsi="宋体" w:eastAsia="宋体" w:cs="宋体"/>
                <w:i w:val="0"/>
                <w:color w:val="000000"/>
                <w:kern w:val="0"/>
                <w:sz w:val="21"/>
                <w:szCs w:val="21"/>
                <w:u w:val="single"/>
                <w:lang w:val="en-US" w:eastAsia="zh-CN" w:bidi="ar"/>
              </w:rPr>
              <w:t xml:space="preserve">    </w:t>
            </w:r>
            <w:r>
              <w:rPr>
                <w:rFonts w:hint="eastAsia" w:ascii="宋体" w:hAnsi="宋体" w:eastAsia="宋体" w:cs="宋体"/>
                <w:i w:val="0"/>
                <w:color w:val="000000"/>
                <w:kern w:val="0"/>
                <w:sz w:val="21"/>
                <w:szCs w:val="21"/>
                <w:u w:val="none"/>
                <w:lang w:val="en-US" w:eastAsia="zh-CN" w:bidi="ar"/>
              </w:rPr>
              <w:t>项，带★重点项目不合格</w:t>
            </w:r>
            <w:r>
              <w:rPr>
                <w:rFonts w:hint="eastAsia" w:ascii="宋体" w:hAnsi="宋体" w:eastAsia="宋体" w:cs="宋体"/>
                <w:i w:val="0"/>
                <w:color w:val="000000"/>
                <w:kern w:val="0"/>
                <w:sz w:val="21"/>
                <w:szCs w:val="21"/>
                <w:u w:val="single"/>
                <w:lang w:val="en-US" w:eastAsia="zh-CN" w:bidi="ar"/>
              </w:rPr>
              <w:t xml:space="preserve">    </w:t>
            </w:r>
            <w:r>
              <w:rPr>
                <w:rFonts w:hint="eastAsia" w:ascii="宋体" w:hAnsi="宋体" w:eastAsia="宋体" w:cs="宋体"/>
                <w:i w:val="0"/>
                <w:color w:val="000000"/>
                <w:kern w:val="0"/>
                <w:sz w:val="21"/>
                <w:szCs w:val="21"/>
                <w:u w:val="none"/>
                <w:lang w:val="en-US" w:eastAsia="zh-CN" w:bidi="ar"/>
              </w:rPr>
              <w:t>项（是否不予评定动态等级：是□ 否□）。实际检查具体项目总分</w:t>
            </w:r>
            <w:r>
              <w:rPr>
                <w:rFonts w:hint="eastAsia" w:ascii="宋体" w:hAnsi="宋体" w:eastAsia="宋体" w:cs="宋体"/>
                <w:i w:val="0"/>
                <w:color w:val="000000"/>
                <w:kern w:val="0"/>
                <w:sz w:val="21"/>
                <w:szCs w:val="21"/>
                <w:u w:val="single"/>
                <w:lang w:val="en-US" w:eastAsia="zh-CN" w:bidi="ar"/>
              </w:rPr>
              <w:t xml:space="preserve">    </w:t>
            </w:r>
            <w:r>
              <w:rPr>
                <w:rFonts w:hint="eastAsia" w:ascii="宋体" w:hAnsi="宋体" w:eastAsia="宋体" w:cs="宋体"/>
                <w:i w:val="0"/>
                <w:color w:val="000000"/>
                <w:kern w:val="0"/>
                <w:sz w:val="21"/>
                <w:szCs w:val="21"/>
                <w:u w:val="none"/>
                <w:lang w:val="en-US" w:eastAsia="zh-CN" w:bidi="ar"/>
              </w:rPr>
              <w:t>分，得分</w:t>
            </w:r>
            <w:r>
              <w:rPr>
                <w:rFonts w:hint="eastAsia" w:ascii="宋体" w:hAnsi="宋体" w:eastAsia="宋体" w:cs="宋体"/>
                <w:i w:val="0"/>
                <w:color w:val="000000"/>
                <w:kern w:val="0"/>
                <w:sz w:val="21"/>
                <w:szCs w:val="21"/>
                <w:u w:val="single"/>
                <w:lang w:val="en-US" w:eastAsia="zh-CN" w:bidi="ar"/>
              </w:rPr>
              <w:t xml:space="preserve">    </w:t>
            </w:r>
            <w:r>
              <w:rPr>
                <w:rFonts w:hint="eastAsia" w:ascii="宋体" w:hAnsi="宋体" w:eastAsia="宋体" w:cs="宋体"/>
                <w:i w:val="0"/>
                <w:color w:val="000000"/>
                <w:kern w:val="0"/>
                <w:sz w:val="21"/>
                <w:szCs w:val="21"/>
                <w:u w:val="none"/>
                <w:lang w:val="en-US" w:eastAsia="zh-CN" w:bidi="ar"/>
              </w:rPr>
              <w:t>分，扣分</w:t>
            </w:r>
            <w:r>
              <w:rPr>
                <w:rFonts w:hint="eastAsia" w:ascii="宋体" w:hAnsi="宋体" w:eastAsia="宋体" w:cs="宋体"/>
                <w:i w:val="0"/>
                <w:color w:val="000000"/>
                <w:kern w:val="0"/>
                <w:sz w:val="21"/>
                <w:szCs w:val="21"/>
                <w:u w:val="single"/>
                <w:lang w:val="en-US" w:eastAsia="zh-CN" w:bidi="ar"/>
              </w:rPr>
              <w:t xml:space="preserve">    </w:t>
            </w:r>
            <w:r>
              <w:rPr>
                <w:rFonts w:hint="eastAsia" w:ascii="宋体" w:hAnsi="宋体" w:eastAsia="宋体" w:cs="宋体"/>
                <w:i w:val="0"/>
                <w:color w:val="000000"/>
                <w:kern w:val="0"/>
                <w:sz w:val="21"/>
                <w:szCs w:val="21"/>
                <w:u w:val="none"/>
                <w:lang w:val="en-US" w:eastAsia="zh-CN" w:bidi="ar"/>
              </w:rPr>
              <w:t>分。折合动态等级分数</w:t>
            </w:r>
            <w:r>
              <w:rPr>
                <w:rFonts w:hint="eastAsia" w:ascii="宋体" w:hAnsi="宋体" w:eastAsia="宋体" w:cs="宋体"/>
                <w:i w:val="0"/>
                <w:color w:val="000000"/>
                <w:kern w:val="0"/>
                <w:sz w:val="21"/>
                <w:szCs w:val="21"/>
                <w:u w:val="single"/>
                <w:lang w:val="en-US" w:eastAsia="zh-CN" w:bidi="ar"/>
              </w:rPr>
              <w:t xml:space="preserve">    </w:t>
            </w:r>
            <w:r>
              <w:rPr>
                <w:rFonts w:hint="eastAsia" w:ascii="宋体" w:hAnsi="宋体" w:eastAsia="宋体" w:cs="宋体"/>
                <w:i w:val="0"/>
                <w:color w:val="000000"/>
                <w:kern w:val="0"/>
                <w:sz w:val="21"/>
                <w:szCs w:val="21"/>
                <w:u w:val="none"/>
                <w:lang w:val="en-US" w:eastAsia="zh-CN" w:bidi="ar"/>
              </w:rPr>
              <w:t>分，动态等级为</w:t>
            </w:r>
            <w:r>
              <w:rPr>
                <w:rFonts w:hint="eastAsia" w:ascii="宋体" w:hAnsi="宋体" w:eastAsia="宋体" w:cs="宋体"/>
                <w:i w:val="0"/>
                <w:color w:val="000000"/>
                <w:kern w:val="0"/>
                <w:sz w:val="21"/>
                <w:szCs w:val="21"/>
                <w:u w:val="single"/>
                <w:lang w:val="en-US" w:eastAsia="zh-CN" w:bidi="ar"/>
              </w:rPr>
              <w:t xml:space="preserve">    </w:t>
            </w:r>
            <w:r>
              <w:rPr>
                <w:rFonts w:hint="eastAsia" w:ascii="宋体" w:hAnsi="宋体" w:eastAsia="宋体" w:cs="宋体"/>
                <w:i w:val="0"/>
                <w:color w:val="000000"/>
                <w:kern w:val="0"/>
                <w:sz w:val="21"/>
                <w:szCs w:val="21"/>
                <w:u w:val="none"/>
                <w:lang w:val="en-US" w:eastAsia="zh-CN" w:bidi="ar"/>
              </w:rPr>
              <w:t>（优秀□  良好□  一般□）。折合动态风险因素量化分值</w:t>
            </w:r>
            <w:r>
              <w:rPr>
                <w:rFonts w:hint="eastAsia" w:ascii="宋体" w:hAnsi="宋体" w:eastAsia="宋体" w:cs="宋体"/>
                <w:i w:val="0"/>
                <w:color w:val="000000"/>
                <w:kern w:val="0"/>
                <w:sz w:val="21"/>
                <w:szCs w:val="21"/>
                <w:u w:val="single"/>
                <w:lang w:val="en-US" w:eastAsia="zh-CN" w:bidi="ar"/>
              </w:rPr>
              <w:t xml:space="preserve">    </w:t>
            </w:r>
            <w:r>
              <w:rPr>
                <w:rFonts w:hint="eastAsia" w:ascii="宋体" w:hAnsi="宋体" w:eastAsia="宋体" w:cs="宋体"/>
                <w:i w:val="0"/>
                <w:color w:val="000000"/>
                <w:kern w:val="0"/>
                <w:sz w:val="21"/>
                <w:szCs w:val="21"/>
                <w:u w:val="none"/>
                <w:lang w:val="en-US" w:eastAsia="zh-CN" w:bidi="ar"/>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020" w:hRule="atLeast"/>
          <w:jc w:val="center"/>
        </w:trPr>
        <w:tc>
          <w:tcPr>
            <w:tcW w:w="660" w:type="dxa"/>
            <w:tcBorders>
              <w:top w:val="single" w:color="auto" w:sz="4" w:space="0"/>
              <w:left w:val="single" w:color="auto" w:sz="8" w:space="0"/>
              <w:bottom w:val="single" w:color="auto" w:sz="8" w:space="0"/>
              <w:right w:val="single" w:color="auto"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1"/>
                <w:rFonts w:hint="eastAsia" w:ascii="仿宋" w:hAnsi="仿宋" w:eastAsia="仿宋" w:cs="仿宋"/>
                <w:i w:val="0"/>
                <w:color w:val="000000"/>
                <w:sz w:val="24"/>
                <w:szCs w:val="24"/>
                <w:lang w:val="en-US" w:eastAsia="zh-CN" w:bidi="ar"/>
              </w:rPr>
            </w:pPr>
            <w:r>
              <w:rPr>
                <w:rStyle w:val="11"/>
                <w:rFonts w:hint="eastAsia" w:ascii="仿宋" w:hAnsi="仿宋" w:eastAsia="仿宋" w:cs="仿宋"/>
                <w:i w:val="0"/>
                <w:color w:val="000000"/>
                <w:sz w:val="24"/>
                <w:szCs w:val="24"/>
                <w:lang w:val="en-US" w:eastAsia="zh-CN" w:bidi="ar"/>
              </w:rPr>
              <w:t>备注</w:t>
            </w:r>
          </w:p>
        </w:tc>
        <w:tc>
          <w:tcPr>
            <w:tcW w:w="8190" w:type="dxa"/>
            <w:gridSpan w:val="8"/>
            <w:tcBorders>
              <w:top w:val="single" w:color="auto" w:sz="4" w:space="0"/>
              <w:left w:val="single" w:color="auto" w:sz="4" w:space="0"/>
              <w:bottom w:val="single" w:color="auto" w:sz="8" w:space="0"/>
              <w:right w:val="single" w:color="auto" w:sz="8" w:space="0"/>
            </w:tcBorders>
            <w:shd w:val="clear" w:color="auto" w:fill="auto"/>
            <w:tcMar>
              <w:top w:w="0" w:type="dxa"/>
              <w:left w:w="113" w:type="dxa"/>
              <w:right w:w="113"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1.被检查单位无相关情况的，应选合理缺项。</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2.带★重点项目有5项（含）以上不合格的，日常监督检查视为不符合，不予评定动</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firstLine="213" w:firstLineChars="100"/>
              <w:jc w:val="left"/>
              <w:textAlignment w:val="center"/>
              <w:outlineLvl w:val="9"/>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态等级，应要求整改。</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3.动态等级分数=（实际检查具体项目得分/实际检查具体项目总分）×10。（保留一</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firstLine="213" w:firstLineChars="100"/>
              <w:jc w:val="left"/>
              <w:textAlignment w:val="center"/>
              <w:outlineLvl w:val="9"/>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位小数）</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4.动态风险因素量化分值=（实际检查具体项目扣分/实际检查具体项目总分）×60。</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 （保留整数）</w:t>
            </w:r>
          </w:p>
        </w:tc>
      </w:tr>
    </w:tbl>
    <w:tbl>
      <w:tblPr>
        <w:tblStyle w:val="6"/>
        <w:tblW w:w="907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454"/>
        <w:gridCol w:w="510"/>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394"/>
        <w:gridCol w:w="16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jc w:val="center"/>
        </w:trPr>
        <w:tc>
          <w:tcPr>
            <w:tcW w:w="680" w:type="dxa"/>
            <w:vMerge w:val="restart"/>
            <w:tcBorders>
              <w:top w:val="nil"/>
              <w:left w:val="nil"/>
              <w:right w:val="single" w:color="auto" w:sz="8" w:space="0"/>
            </w:tcBorders>
            <w:textDirection w:val="btLr"/>
            <w:vAlign w:val="top"/>
          </w:tcPr>
          <w:p>
            <w:pPr>
              <w:keepNext w:val="0"/>
              <w:keepLines w:val="0"/>
              <w:pageBreakBefore w:val="0"/>
              <w:widowControl w:val="0"/>
              <w:kinsoku/>
              <w:wordWrap/>
              <w:overflowPunct/>
              <w:topLinePunct w:val="0"/>
              <w:autoSpaceDE/>
              <w:autoSpaceDN/>
              <w:bidi w:val="0"/>
              <w:adjustRightInd/>
              <w:snapToGrid/>
              <w:spacing w:line="52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方正小标宋简体" w:hAnsi="方正小标宋简体" w:eastAsia="方正小标宋简体" w:cs="方正小标宋简体"/>
                <w:sz w:val="44"/>
                <w:szCs w:val="44"/>
              </w:rPr>
              <w:t>餐饮服务提供者静态风险因素量化分值表</w:t>
            </w:r>
          </w:p>
        </w:tc>
        <w:tc>
          <w:tcPr>
            <w:tcW w:w="454" w:type="dxa"/>
            <w:tcBorders>
              <w:top w:val="single" w:color="auto" w:sz="8" w:space="0"/>
              <w:left w:val="single" w:color="auto" w:sz="8" w:space="0"/>
            </w:tcBorders>
            <w:textDirection w:val="btLr"/>
            <w:vAlign w:val="top"/>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8"/>
                <w:szCs w:val="28"/>
                <w:u w:val="none"/>
                <w:vertAlign w:val="baseline"/>
                <w:lang w:val="en-US" w:eastAsia="zh-CN" w:bidi="ar"/>
              </w:rPr>
            </w:pPr>
            <w:r>
              <w:rPr>
                <w:rFonts w:hint="eastAsia" w:ascii="仿宋" w:hAnsi="仿宋" w:cs="仿宋"/>
                <w:i w:val="0"/>
                <w:color w:val="000000"/>
                <w:kern w:val="0"/>
                <w:sz w:val="28"/>
                <w:szCs w:val="28"/>
                <w:u w:val="none"/>
                <w:vertAlign w:val="baseline"/>
                <w:lang w:val="en-US" w:eastAsia="zh-CN" w:bidi="ar"/>
              </w:rPr>
              <w:t>得分</w:t>
            </w:r>
          </w:p>
        </w:tc>
        <w:tc>
          <w:tcPr>
            <w:tcW w:w="793" w:type="dxa"/>
            <w:gridSpan w:val="2"/>
            <w:tcBorders>
              <w:top w:val="single" w:color="auto" w:sz="8"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566" w:type="dxa"/>
            <w:gridSpan w:val="2"/>
            <w:tcBorders>
              <w:top w:val="single" w:color="auto" w:sz="8"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566" w:type="dxa"/>
            <w:gridSpan w:val="2"/>
            <w:tcBorders>
              <w:top w:val="single" w:color="auto" w:sz="8"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566" w:type="dxa"/>
            <w:gridSpan w:val="2"/>
            <w:tcBorders>
              <w:top w:val="single" w:color="auto" w:sz="8"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566" w:type="dxa"/>
            <w:gridSpan w:val="2"/>
            <w:tcBorders>
              <w:top w:val="single" w:color="auto" w:sz="8"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566" w:type="dxa"/>
            <w:gridSpan w:val="2"/>
            <w:tcBorders>
              <w:top w:val="single" w:color="auto" w:sz="8"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566" w:type="dxa"/>
            <w:gridSpan w:val="2"/>
            <w:tcBorders>
              <w:top w:val="single" w:color="auto" w:sz="8"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566" w:type="dxa"/>
            <w:gridSpan w:val="2"/>
            <w:tcBorders>
              <w:top w:val="single" w:color="auto" w:sz="8"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566" w:type="dxa"/>
            <w:gridSpan w:val="2"/>
            <w:tcBorders>
              <w:top w:val="single" w:color="auto" w:sz="8"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566" w:type="dxa"/>
            <w:gridSpan w:val="2"/>
            <w:tcBorders>
              <w:top w:val="single" w:color="auto" w:sz="8"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394" w:type="dxa"/>
            <w:vMerge w:val="restart"/>
            <w:tcBorders>
              <w:top w:val="single" w:color="auto" w:sz="8"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1655" w:type="dxa"/>
            <w:vMerge w:val="restart"/>
            <w:tcBorders>
              <w:top w:val="single" w:color="auto" w:sz="8" w:space="0"/>
              <w:bottom w:val="single" w:color="auto" w:sz="4" w:space="0"/>
              <w:right w:val="single" w:color="auto" w:sz="8" w:space="0"/>
            </w:tcBorders>
            <w:tcMar>
              <w:top w:w="57" w:type="dxa"/>
              <w:left w:w="57" w:type="dxa"/>
              <w:bottom w:w="57" w:type="dxa"/>
              <w:right w:w="57" w:type="dxa"/>
            </w:tcMar>
            <w:textDirection w:val="btLr"/>
            <w:vAlign w:val="top"/>
          </w:tcPr>
          <w:p>
            <w:pPr>
              <w:keepNext w:val="0"/>
              <w:keepLines w:val="0"/>
              <w:pageBreakBefore w:val="0"/>
              <w:widowControl w:val="0"/>
              <w:kinsoku/>
              <w:wordWrap/>
              <w:overflowPunct/>
              <w:topLinePunct w:val="0"/>
              <w:autoSpaceDE/>
              <w:autoSpaceDN/>
              <w:bidi w:val="0"/>
              <w:adjustRightInd/>
              <w:snapToGrid/>
              <w:spacing w:line="240" w:lineRule="exact"/>
              <w:ind w:left="113" w:right="113"/>
              <w:jc w:val="left"/>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备注：1.各项评分总和为40分。因实际情况存在缺项情形的，该项评分为“0”。</w:t>
            </w:r>
          </w:p>
          <w:p>
            <w:pPr>
              <w:keepNext w:val="0"/>
              <w:keepLines w:val="0"/>
              <w:pageBreakBefore w:val="0"/>
              <w:widowControl w:val="0"/>
              <w:kinsoku/>
              <w:wordWrap/>
              <w:overflowPunct/>
              <w:topLinePunct w:val="0"/>
              <w:autoSpaceDE/>
              <w:autoSpaceDN/>
              <w:bidi w:val="0"/>
              <w:adjustRightInd/>
              <w:snapToGrid/>
              <w:spacing w:line="240" w:lineRule="exact"/>
              <w:ind w:left="113" w:right="113" w:firstLine="639" w:firstLineChars="300"/>
              <w:jc w:val="left"/>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2.数量单位为个。</w:t>
            </w:r>
          </w:p>
          <w:p>
            <w:pPr>
              <w:keepNext w:val="0"/>
              <w:keepLines w:val="0"/>
              <w:pageBreakBefore w:val="0"/>
              <w:widowControl w:val="0"/>
              <w:kinsoku/>
              <w:wordWrap/>
              <w:overflowPunct/>
              <w:topLinePunct w:val="0"/>
              <w:autoSpaceDE/>
              <w:autoSpaceDN/>
              <w:bidi w:val="0"/>
              <w:adjustRightInd/>
              <w:snapToGrid/>
              <w:spacing w:line="240" w:lineRule="exact"/>
              <w:ind w:left="113" w:right="113" w:firstLine="639" w:firstLineChars="300"/>
              <w:jc w:val="left"/>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3.单品数是指餐饮服务提供者的最新菜单中所展示的独立销售的食品品种数，不含制作过程中各类食品原料和半成品数量。</w:t>
            </w:r>
          </w:p>
          <w:p>
            <w:pPr>
              <w:keepNext w:val="0"/>
              <w:keepLines w:val="0"/>
              <w:pageBreakBefore w:val="0"/>
              <w:widowControl w:val="0"/>
              <w:kinsoku/>
              <w:wordWrap/>
              <w:overflowPunct/>
              <w:topLinePunct w:val="0"/>
              <w:autoSpaceDE/>
              <w:autoSpaceDN/>
              <w:bidi w:val="0"/>
              <w:adjustRightInd/>
              <w:snapToGrid/>
              <w:spacing w:line="240" w:lineRule="exact"/>
              <w:ind w:left="113" w:right="113" w:firstLine="639" w:firstLineChars="300"/>
              <w:jc w:val="left"/>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4.具有热食、冷食、生食等多种情形,难以明确归类的食品，可按食品安全风险等级最高的情形进行归类。</w:t>
            </w:r>
          </w:p>
          <w:p>
            <w:pPr>
              <w:keepNext w:val="0"/>
              <w:keepLines w:val="0"/>
              <w:pageBreakBefore w:val="0"/>
              <w:widowControl w:val="0"/>
              <w:kinsoku/>
              <w:wordWrap/>
              <w:overflowPunct/>
              <w:topLinePunct w:val="0"/>
              <w:autoSpaceDE/>
              <w:autoSpaceDN/>
              <w:bidi w:val="0"/>
              <w:adjustRightInd/>
              <w:snapToGrid/>
              <w:spacing w:line="240" w:lineRule="exact"/>
              <w:ind w:left="113" w:right="113" w:firstLine="639" w:firstLineChars="300"/>
              <w:jc w:val="left"/>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5.易腐原料是指蛋白质或碳水化合物含量较高，通常pH大于4.6且水分活度大于0.85，需要控制温度和时间以防止腐败变质和细菌生长、繁殖、产毒的食品。如乳、蛋、禽、畜、水产品等动物源性食品（含）及豆制品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1" w:hRule="atLeast"/>
          <w:jc w:val="center"/>
        </w:trPr>
        <w:tc>
          <w:tcPr>
            <w:tcW w:w="680" w:type="dxa"/>
            <w:vMerge w:val="continue"/>
            <w:tcBorders>
              <w:left w:val="nil"/>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454" w:type="dxa"/>
            <w:vMerge w:val="restart"/>
            <w:tcBorders>
              <w:left w:val="single" w:color="auto" w:sz="8" w:space="0"/>
            </w:tcBorders>
            <w:textDirection w:val="btLr"/>
            <w:vAlign w:val="top"/>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8"/>
                <w:szCs w:val="28"/>
                <w:u w:val="none"/>
                <w:vertAlign w:val="baseline"/>
                <w:lang w:val="en-US" w:eastAsia="zh-CN" w:bidi="ar"/>
              </w:rPr>
            </w:pPr>
            <w:r>
              <w:rPr>
                <w:rFonts w:hint="eastAsia" w:ascii="仿宋" w:hAnsi="仿宋" w:eastAsia="仿宋" w:cs="仿宋"/>
                <w:sz w:val="28"/>
                <w:szCs w:val="28"/>
              </w:rPr>
              <w:t>参考分值</w:t>
            </w:r>
          </w:p>
        </w:tc>
        <w:tc>
          <w:tcPr>
            <w:tcW w:w="510"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60" w:lineRule="exact"/>
              <w:ind w:left="113" w:right="113"/>
              <w:jc w:val="center"/>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rPr>
              <w:t>面积3001m</w:t>
            </w:r>
            <w:r>
              <w:rPr>
                <w:rFonts w:hint="eastAsia" w:ascii="仿宋" w:hAnsi="仿宋" w:eastAsia="仿宋" w:cs="仿宋"/>
                <w:sz w:val="21"/>
                <w:szCs w:val="21"/>
                <w:vertAlign w:val="superscript"/>
              </w:rPr>
              <w:t>2</w:t>
            </w:r>
            <w:r>
              <w:rPr>
                <w:rFonts w:hint="eastAsia" w:ascii="仿宋" w:hAnsi="仿宋" w:eastAsia="仿宋" w:cs="仿宋"/>
                <w:sz w:val="21"/>
                <w:szCs w:val="21"/>
              </w:rPr>
              <w:t>及以上</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10分</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41及以上</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4分</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21及以上</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4分</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21及以上</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8分</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41及以上</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21及以上</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4分</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201及以上</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81及以上</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21及以上</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21及以上</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394" w:type="dxa"/>
            <w:vMerge w:val="continue"/>
            <w:tcBorders>
              <w:top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1655" w:type="dxa"/>
            <w:vMerge w:val="continue"/>
            <w:tcBorders>
              <w:top w:val="single" w:color="auto" w:sz="4" w:space="0"/>
              <w:bottom w:val="single" w:color="auto" w:sz="4" w:space="0"/>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4" w:hRule="atLeast"/>
          <w:jc w:val="center"/>
        </w:trPr>
        <w:tc>
          <w:tcPr>
            <w:tcW w:w="680" w:type="dxa"/>
            <w:vMerge w:val="continue"/>
            <w:tcBorders>
              <w:left w:val="nil"/>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454" w:type="dxa"/>
            <w:vMerge w:val="continue"/>
            <w:tcBorders>
              <w:left w:val="single" w:color="auto" w:sz="8" w:space="0"/>
            </w:tcBorders>
            <w:textDirection w:val="btLr"/>
            <w:vAlign w:val="top"/>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8"/>
                <w:szCs w:val="28"/>
                <w:u w:val="none"/>
                <w:vertAlign w:val="baseline"/>
                <w:lang w:val="en-US" w:eastAsia="zh-CN" w:bidi="ar"/>
              </w:rPr>
            </w:pPr>
          </w:p>
        </w:tc>
        <w:tc>
          <w:tcPr>
            <w:tcW w:w="510"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60" w:lineRule="exact"/>
              <w:ind w:left="113" w:right="113"/>
              <w:jc w:val="center"/>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rPr>
              <w:t>面积1001m</w:t>
            </w:r>
            <w:r>
              <w:rPr>
                <w:rFonts w:hint="eastAsia" w:ascii="仿宋" w:hAnsi="仿宋" w:eastAsia="仿宋" w:cs="仿宋"/>
                <w:sz w:val="21"/>
                <w:szCs w:val="21"/>
                <w:vertAlign w:val="superscript"/>
              </w:rPr>
              <w:t>2</w:t>
            </w:r>
            <w:r>
              <w:rPr>
                <w:rFonts w:hint="eastAsia" w:ascii="仿宋" w:hAnsi="仿宋" w:eastAsia="仿宋" w:cs="仿宋"/>
                <w:sz w:val="21"/>
                <w:szCs w:val="21"/>
              </w:rPr>
              <w:t>～3000m</w:t>
            </w:r>
            <w:r>
              <w:rPr>
                <w:rFonts w:hint="eastAsia" w:ascii="仿宋" w:hAnsi="仿宋" w:eastAsia="仿宋" w:cs="仿宋"/>
                <w:sz w:val="21"/>
                <w:szCs w:val="21"/>
                <w:vertAlign w:val="superscript"/>
              </w:rPr>
              <w:t>2</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8分</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21～40</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3分</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16～20</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3分</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11～20</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6分</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21～40</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1.5分</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11～20</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3分</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101～200</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1.5分</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51～80</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1.5分</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11～20</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1.5分</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11～20</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1.5分</w:t>
            </w:r>
          </w:p>
        </w:tc>
        <w:tc>
          <w:tcPr>
            <w:tcW w:w="394" w:type="dxa"/>
            <w:vMerge w:val="continue"/>
            <w:tcBorders>
              <w:top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1655" w:type="dxa"/>
            <w:vMerge w:val="continue"/>
            <w:tcBorders>
              <w:top w:val="single" w:color="auto" w:sz="4" w:space="0"/>
              <w:bottom w:val="single" w:color="auto" w:sz="4" w:space="0"/>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4" w:hRule="atLeast"/>
          <w:jc w:val="center"/>
        </w:trPr>
        <w:tc>
          <w:tcPr>
            <w:tcW w:w="680" w:type="dxa"/>
            <w:vMerge w:val="continue"/>
            <w:tcBorders>
              <w:left w:val="nil"/>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454" w:type="dxa"/>
            <w:vMerge w:val="continue"/>
            <w:tcBorders>
              <w:left w:val="single" w:color="auto" w:sz="8" w:space="0"/>
            </w:tcBorders>
            <w:textDirection w:val="btLr"/>
            <w:vAlign w:val="top"/>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8"/>
                <w:szCs w:val="28"/>
                <w:u w:val="none"/>
                <w:vertAlign w:val="baseline"/>
                <w:lang w:val="en-US" w:eastAsia="zh-CN" w:bidi="ar"/>
              </w:rPr>
            </w:pPr>
          </w:p>
        </w:tc>
        <w:tc>
          <w:tcPr>
            <w:tcW w:w="510"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60" w:lineRule="exact"/>
              <w:ind w:left="113" w:right="113"/>
              <w:jc w:val="center"/>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rPr>
              <w:t>面积501m</w:t>
            </w:r>
            <w:r>
              <w:rPr>
                <w:rFonts w:hint="eastAsia" w:ascii="仿宋" w:hAnsi="仿宋" w:eastAsia="仿宋" w:cs="仿宋"/>
                <w:sz w:val="21"/>
                <w:szCs w:val="21"/>
                <w:vertAlign w:val="superscript"/>
              </w:rPr>
              <w:t>2</w:t>
            </w:r>
            <w:r>
              <w:rPr>
                <w:rFonts w:hint="eastAsia" w:ascii="仿宋" w:hAnsi="仿宋" w:eastAsia="仿宋" w:cs="仿宋"/>
                <w:sz w:val="21"/>
                <w:szCs w:val="21"/>
              </w:rPr>
              <w:t>～1000m</w:t>
            </w:r>
            <w:r>
              <w:rPr>
                <w:rFonts w:hint="eastAsia" w:ascii="仿宋" w:hAnsi="仿宋" w:eastAsia="仿宋" w:cs="仿宋"/>
                <w:sz w:val="21"/>
                <w:szCs w:val="21"/>
                <w:vertAlign w:val="superscript"/>
              </w:rPr>
              <w:t>2</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6分</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11～20</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2.5分</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11～15</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2.5分</w:t>
            </w:r>
          </w:p>
        </w:tc>
        <w:tc>
          <w:tcPr>
            <w:tcW w:w="283" w:type="dxa"/>
            <w:vMerge w:val="restart"/>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1～10</w:t>
            </w:r>
          </w:p>
        </w:tc>
        <w:tc>
          <w:tcPr>
            <w:tcW w:w="283" w:type="dxa"/>
            <w:vMerge w:val="restart"/>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4分</w:t>
            </w:r>
          </w:p>
        </w:tc>
        <w:tc>
          <w:tcPr>
            <w:tcW w:w="283" w:type="dxa"/>
            <w:vMerge w:val="restart"/>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1～20</w:t>
            </w:r>
          </w:p>
        </w:tc>
        <w:tc>
          <w:tcPr>
            <w:tcW w:w="283" w:type="dxa"/>
            <w:vMerge w:val="restart"/>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1分</w:t>
            </w:r>
          </w:p>
        </w:tc>
        <w:tc>
          <w:tcPr>
            <w:tcW w:w="283" w:type="dxa"/>
            <w:vMerge w:val="restart"/>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1～10</w:t>
            </w:r>
          </w:p>
        </w:tc>
        <w:tc>
          <w:tcPr>
            <w:tcW w:w="283" w:type="dxa"/>
            <w:vMerge w:val="restart"/>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31～100</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1分</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21～50</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1分</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6～10</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1分</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6～10</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1分</w:t>
            </w:r>
          </w:p>
        </w:tc>
        <w:tc>
          <w:tcPr>
            <w:tcW w:w="394" w:type="dxa"/>
            <w:vMerge w:val="continue"/>
            <w:tcBorders>
              <w:top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1655" w:type="dxa"/>
            <w:vMerge w:val="continue"/>
            <w:tcBorders>
              <w:top w:val="single" w:color="auto" w:sz="4" w:space="0"/>
              <w:bottom w:val="single" w:color="auto" w:sz="4" w:space="0"/>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4" w:hRule="atLeast"/>
          <w:jc w:val="center"/>
        </w:trPr>
        <w:tc>
          <w:tcPr>
            <w:tcW w:w="680" w:type="dxa"/>
            <w:vMerge w:val="continue"/>
            <w:tcBorders>
              <w:left w:val="nil"/>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454" w:type="dxa"/>
            <w:vMerge w:val="continue"/>
            <w:tcBorders>
              <w:left w:val="single" w:color="auto" w:sz="8" w:space="0"/>
            </w:tcBorders>
            <w:textDirection w:val="btLr"/>
            <w:vAlign w:val="top"/>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8"/>
                <w:szCs w:val="28"/>
                <w:u w:val="none"/>
                <w:vertAlign w:val="baseline"/>
                <w:lang w:val="en-US" w:eastAsia="zh-CN" w:bidi="ar"/>
              </w:rPr>
            </w:pPr>
          </w:p>
        </w:tc>
        <w:tc>
          <w:tcPr>
            <w:tcW w:w="510"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60" w:lineRule="exact"/>
              <w:ind w:left="113" w:right="113"/>
              <w:jc w:val="center"/>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rPr>
              <w:t>面积151m</w:t>
            </w:r>
            <w:r>
              <w:rPr>
                <w:rFonts w:hint="eastAsia" w:ascii="仿宋" w:hAnsi="仿宋" w:eastAsia="仿宋" w:cs="仿宋"/>
                <w:sz w:val="21"/>
                <w:szCs w:val="21"/>
                <w:vertAlign w:val="superscript"/>
              </w:rPr>
              <w:t>2</w:t>
            </w:r>
            <w:r>
              <w:rPr>
                <w:rFonts w:hint="eastAsia" w:ascii="仿宋" w:hAnsi="仿宋" w:eastAsia="仿宋" w:cs="仿宋"/>
                <w:sz w:val="21"/>
                <w:szCs w:val="21"/>
              </w:rPr>
              <w:t>～500m</w:t>
            </w:r>
            <w:r>
              <w:rPr>
                <w:rFonts w:hint="eastAsia" w:ascii="仿宋" w:hAnsi="仿宋" w:eastAsia="仿宋" w:cs="仿宋"/>
                <w:sz w:val="21"/>
                <w:szCs w:val="21"/>
                <w:vertAlign w:val="superscript"/>
              </w:rPr>
              <w:t>2</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4分</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w:t>
            </w:r>
            <w:r>
              <w:rPr>
                <w:rFonts w:hint="eastAsia" w:ascii="仿宋" w:hAnsi="仿宋" w:eastAsia="仿宋" w:cs="仿宋"/>
                <w:sz w:val="21"/>
                <w:szCs w:val="21"/>
              </w:rPr>
              <w:t>～10</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w:t>
            </w:r>
            <w:r>
              <w:rPr>
                <w:rFonts w:hint="eastAsia" w:ascii="仿宋" w:hAnsi="仿宋" w:eastAsia="仿宋" w:cs="仿宋"/>
                <w:sz w:val="21"/>
                <w:szCs w:val="21"/>
              </w:rPr>
              <w:t>～10</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283" w:type="dxa"/>
            <w:vMerge w:val="continue"/>
            <w:tcBorders>
              <w:top w:val="single" w:color="auto" w:sz="4" w:space="0"/>
              <w:bottom w:val="single" w:color="auto" w:sz="4" w:space="0"/>
            </w:tcBorders>
            <w:shd w:val="clear" w:color="auto" w:fill="E7E6E6" w:themeFill="background2"/>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283" w:type="dxa"/>
            <w:vMerge w:val="continue"/>
            <w:tcBorders>
              <w:top w:val="single" w:color="auto" w:sz="4" w:space="0"/>
              <w:bottom w:val="single" w:color="auto" w:sz="4" w:space="0"/>
            </w:tcBorders>
            <w:shd w:val="clear" w:color="auto" w:fill="E7E6E6" w:themeFill="background2"/>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283" w:type="dxa"/>
            <w:vMerge w:val="continue"/>
            <w:tcBorders>
              <w:top w:val="single" w:color="auto" w:sz="4" w:space="0"/>
              <w:bottom w:val="single" w:color="auto" w:sz="4" w:space="0"/>
            </w:tcBorders>
            <w:shd w:val="clear" w:color="auto" w:fill="E7E6E6" w:themeFill="background2"/>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283" w:type="dxa"/>
            <w:vMerge w:val="continue"/>
            <w:tcBorders>
              <w:top w:val="single" w:color="auto" w:sz="4" w:space="0"/>
              <w:bottom w:val="single" w:color="auto" w:sz="4" w:space="0"/>
            </w:tcBorders>
            <w:shd w:val="clear" w:color="auto" w:fill="E7E6E6" w:themeFill="background2"/>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283" w:type="dxa"/>
            <w:vMerge w:val="continue"/>
            <w:tcBorders>
              <w:top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283" w:type="dxa"/>
            <w:vMerge w:val="continue"/>
            <w:tcBorders>
              <w:top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1～30</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0.5分</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1～20</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0.5分</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1～5</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0.5分</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1～5</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0.5分</w:t>
            </w:r>
          </w:p>
        </w:tc>
        <w:tc>
          <w:tcPr>
            <w:tcW w:w="394" w:type="dxa"/>
            <w:vMerge w:val="continue"/>
            <w:tcBorders>
              <w:top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1655" w:type="dxa"/>
            <w:vMerge w:val="continue"/>
            <w:tcBorders>
              <w:top w:val="single" w:color="auto" w:sz="4" w:space="0"/>
              <w:bottom w:val="single" w:color="auto" w:sz="4" w:space="0"/>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3" w:hRule="atLeast"/>
          <w:jc w:val="center"/>
        </w:trPr>
        <w:tc>
          <w:tcPr>
            <w:tcW w:w="680" w:type="dxa"/>
            <w:vMerge w:val="continue"/>
            <w:tcBorders>
              <w:left w:val="nil"/>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454" w:type="dxa"/>
            <w:vMerge w:val="continue"/>
            <w:tcBorders>
              <w:left w:val="single" w:color="auto" w:sz="8" w:space="0"/>
            </w:tcBorders>
            <w:textDirection w:val="btLr"/>
            <w:vAlign w:val="top"/>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8"/>
                <w:szCs w:val="28"/>
                <w:u w:val="none"/>
                <w:vertAlign w:val="baseline"/>
                <w:lang w:val="en-US" w:eastAsia="zh-CN" w:bidi="ar"/>
              </w:rPr>
            </w:pPr>
          </w:p>
        </w:tc>
        <w:tc>
          <w:tcPr>
            <w:tcW w:w="510"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60" w:lineRule="exact"/>
              <w:ind w:left="113" w:right="113"/>
              <w:jc w:val="center"/>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rPr>
              <w:t>面积150m</w:t>
            </w:r>
            <w:r>
              <w:rPr>
                <w:rFonts w:hint="eastAsia" w:ascii="仿宋" w:hAnsi="仿宋" w:eastAsia="仿宋" w:cs="仿宋"/>
                <w:sz w:val="21"/>
                <w:szCs w:val="21"/>
                <w:vertAlign w:val="superscript"/>
              </w:rPr>
              <w:t>2</w:t>
            </w:r>
            <w:r>
              <w:rPr>
                <w:rFonts w:hint="eastAsia" w:ascii="仿宋" w:hAnsi="仿宋" w:eastAsia="仿宋" w:cs="仿宋"/>
                <w:sz w:val="21"/>
                <w:szCs w:val="21"/>
              </w:rPr>
              <w:t>及以下</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数量</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分值</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数量</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分值</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数量</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分值</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数量</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分值</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数量</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分值</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数量</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分值</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数量</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分值</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数量</w:t>
            </w:r>
          </w:p>
        </w:tc>
        <w:tc>
          <w:tcPr>
            <w:tcW w:w="283"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分值</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数量</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分值</w:t>
            </w:r>
          </w:p>
        </w:tc>
        <w:tc>
          <w:tcPr>
            <w:tcW w:w="394" w:type="dxa"/>
            <w:vMerge w:val="continue"/>
            <w:tcBorders>
              <w:top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1655" w:type="dxa"/>
            <w:vMerge w:val="continue"/>
            <w:tcBorders>
              <w:top w:val="single" w:color="auto" w:sz="4" w:space="0"/>
              <w:bottom w:val="single" w:color="auto" w:sz="4" w:space="0"/>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9" w:hRule="atLeast"/>
          <w:jc w:val="center"/>
        </w:trPr>
        <w:tc>
          <w:tcPr>
            <w:tcW w:w="680" w:type="dxa"/>
            <w:vMerge w:val="continue"/>
            <w:tcBorders>
              <w:left w:val="nil"/>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454" w:type="dxa"/>
            <w:vMerge w:val="restart"/>
            <w:tcBorders>
              <w:left w:val="single" w:color="auto" w:sz="8" w:space="0"/>
              <w:bottom w:val="single" w:color="auto" w:sz="8" w:space="0"/>
            </w:tcBorders>
            <w:textDirection w:val="btLr"/>
            <w:vAlign w:val="top"/>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8"/>
                <w:szCs w:val="28"/>
                <w:u w:val="none"/>
                <w:vertAlign w:val="baseline"/>
                <w:lang w:val="en-US" w:eastAsia="zh-CN" w:bidi="ar"/>
              </w:rPr>
            </w:pPr>
            <w:r>
              <w:rPr>
                <w:rFonts w:hint="eastAsia" w:ascii="仿宋" w:hAnsi="仿宋" w:eastAsia="仿宋" w:cs="仿宋"/>
                <w:sz w:val="28"/>
                <w:szCs w:val="28"/>
              </w:rPr>
              <w:t>评分项（共40分）</w:t>
            </w:r>
          </w:p>
        </w:tc>
        <w:tc>
          <w:tcPr>
            <w:tcW w:w="510"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6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规模</w:t>
            </w:r>
          </w:p>
        </w:tc>
        <w:tc>
          <w:tcPr>
            <w:tcW w:w="283"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分值</w:t>
            </w:r>
          </w:p>
        </w:tc>
        <w:tc>
          <w:tcPr>
            <w:tcW w:w="566" w:type="dxa"/>
            <w:gridSpan w:val="2"/>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单品数</w:t>
            </w:r>
          </w:p>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（4分）</w:t>
            </w:r>
          </w:p>
        </w:tc>
        <w:tc>
          <w:tcPr>
            <w:tcW w:w="566" w:type="dxa"/>
            <w:gridSpan w:val="2"/>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含易腐原料（4分）</w:t>
            </w:r>
          </w:p>
        </w:tc>
        <w:tc>
          <w:tcPr>
            <w:tcW w:w="566" w:type="dxa"/>
            <w:gridSpan w:val="2"/>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单品数</w:t>
            </w:r>
          </w:p>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（8分）</w:t>
            </w:r>
          </w:p>
        </w:tc>
        <w:tc>
          <w:tcPr>
            <w:tcW w:w="566" w:type="dxa"/>
            <w:gridSpan w:val="2"/>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单品数</w:t>
            </w:r>
          </w:p>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566" w:type="dxa"/>
            <w:gridSpan w:val="2"/>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含易腐原料（4分）</w:t>
            </w:r>
          </w:p>
        </w:tc>
        <w:tc>
          <w:tcPr>
            <w:tcW w:w="566" w:type="dxa"/>
            <w:gridSpan w:val="2"/>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单品数</w:t>
            </w:r>
          </w:p>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566" w:type="dxa"/>
            <w:gridSpan w:val="2"/>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含易腐原料（2分）</w:t>
            </w:r>
          </w:p>
        </w:tc>
        <w:tc>
          <w:tcPr>
            <w:tcW w:w="566" w:type="dxa"/>
            <w:gridSpan w:val="2"/>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单品数</w:t>
            </w:r>
          </w:p>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566" w:type="dxa"/>
            <w:gridSpan w:val="2"/>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单品数</w:t>
            </w:r>
          </w:p>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394" w:type="dxa"/>
            <w:vMerge w:val="continue"/>
            <w:tcBorders>
              <w:top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1655" w:type="dxa"/>
            <w:vMerge w:val="continue"/>
            <w:tcBorders>
              <w:top w:val="single" w:color="auto" w:sz="4" w:space="0"/>
              <w:bottom w:val="single" w:color="auto" w:sz="4" w:space="0"/>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1" w:hRule="atLeast"/>
          <w:jc w:val="center"/>
        </w:trPr>
        <w:tc>
          <w:tcPr>
            <w:tcW w:w="680" w:type="dxa"/>
            <w:vMerge w:val="continue"/>
            <w:tcBorders>
              <w:left w:val="nil"/>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454" w:type="dxa"/>
            <w:vMerge w:val="continue"/>
            <w:tcBorders>
              <w:top w:val="single" w:color="auto" w:sz="8" w:space="0"/>
              <w:left w:val="single" w:color="auto" w:sz="8" w:space="0"/>
              <w:bottom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793" w:type="dxa"/>
            <w:gridSpan w:val="2"/>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餐饮服务</w:t>
            </w:r>
          </w:p>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提供者</w:t>
            </w:r>
          </w:p>
        </w:tc>
        <w:tc>
          <w:tcPr>
            <w:tcW w:w="1132" w:type="dxa"/>
            <w:gridSpan w:val="4"/>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冷食类食品制售（8分）</w:t>
            </w:r>
          </w:p>
        </w:tc>
        <w:tc>
          <w:tcPr>
            <w:tcW w:w="566" w:type="dxa"/>
            <w:gridSpan w:val="2"/>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生食类食品制售（8分）</w:t>
            </w:r>
          </w:p>
        </w:tc>
        <w:tc>
          <w:tcPr>
            <w:tcW w:w="1132" w:type="dxa"/>
            <w:gridSpan w:val="4"/>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糕点类食品制售</w:t>
            </w:r>
            <w:r>
              <w:rPr>
                <w:rFonts w:hint="eastAsia" w:ascii="仿宋" w:hAnsi="仿宋" w:cs="仿宋"/>
                <w:i w:val="0"/>
                <w:color w:val="000000"/>
                <w:kern w:val="0"/>
                <w:sz w:val="21"/>
                <w:szCs w:val="21"/>
                <w:u w:val="none"/>
                <w:vertAlign w:val="baseline"/>
                <w:lang w:val="en-US" w:eastAsia="zh-CN" w:bidi="ar"/>
              </w:rPr>
              <w:t>（</w:t>
            </w:r>
            <w:r>
              <w:rPr>
                <w:rFonts w:hint="eastAsia" w:ascii="仿宋" w:hAnsi="仿宋" w:eastAsia="仿宋" w:cs="仿宋"/>
                <w:i w:val="0"/>
                <w:color w:val="000000"/>
                <w:kern w:val="0"/>
                <w:sz w:val="21"/>
                <w:szCs w:val="21"/>
                <w:u w:val="none"/>
                <w:vertAlign w:val="baseline"/>
                <w:lang w:val="en-US" w:eastAsia="zh-CN" w:bidi="ar"/>
              </w:rPr>
              <w:t>包括裱花蛋糕</w:t>
            </w:r>
            <w:r>
              <w:rPr>
                <w:rFonts w:hint="eastAsia" w:ascii="仿宋" w:hAnsi="仿宋" w:cs="仿宋"/>
                <w:i w:val="0"/>
                <w:color w:val="000000"/>
                <w:kern w:val="0"/>
                <w:sz w:val="21"/>
                <w:szCs w:val="21"/>
                <w:u w:val="none"/>
                <w:vertAlign w:val="baseline"/>
                <w:lang w:val="en-US" w:eastAsia="zh-CN" w:bidi="ar"/>
              </w:rPr>
              <w:t>）（</w:t>
            </w:r>
            <w:r>
              <w:rPr>
                <w:rFonts w:hint="eastAsia" w:ascii="仿宋" w:hAnsi="仿宋" w:eastAsia="仿宋" w:cs="仿宋"/>
                <w:i w:val="0"/>
                <w:color w:val="000000"/>
                <w:kern w:val="0"/>
                <w:sz w:val="21"/>
                <w:szCs w:val="21"/>
                <w:u w:val="none"/>
                <w:vertAlign w:val="baseline"/>
                <w:lang w:val="en-US" w:eastAsia="zh-CN" w:bidi="ar"/>
              </w:rPr>
              <w:t>6分）</w:t>
            </w:r>
          </w:p>
        </w:tc>
        <w:tc>
          <w:tcPr>
            <w:tcW w:w="1132" w:type="dxa"/>
            <w:gridSpan w:val="4"/>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热食类食品制售（4分）</w:t>
            </w:r>
          </w:p>
        </w:tc>
        <w:tc>
          <w:tcPr>
            <w:tcW w:w="566" w:type="dxa"/>
            <w:gridSpan w:val="2"/>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自制饮品制售（2分）</w:t>
            </w:r>
          </w:p>
        </w:tc>
        <w:tc>
          <w:tcPr>
            <w:tcW w:w="566" w:type="dxa"/>
            <w:gridSpan w:val="2"/>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其他类食品制售（2分）</w:t>
            </w:r>
          </w:p>
        </w:tc>
        <w:tc>
          <w:tcPr>
            <w:tcW w:w="394" w:type="dxa"/>
            <w:vMerge w:val="restart"/>
            <w:tcBorders>
              <w:top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得分总和</w:t>
            </w:r>
          </w:p>
        </w:tc>
        <w:tc>
          <w:tcPr>
            <w:tcW w:w="1655" w:type="dxa"/>
            <w:vMerge w:val="continue"/>
            <w:tcBorders>
              <w:top w:val="single" w:color="auto" w:sz="4" w:space="0"/>
              <w:bottom w:val="single" w:color="auto" w:sz="4" w:space="0"/>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55" w:hRule="atLeast"/>
          <w:jc w:val="center"/>
        </w:trPr>
        <w:tc>
          <w:tcPr>
            <w:tcW w:w="680" w:type="dxa"/>
            <w:vMerge w:val="continue"/>
            <w:tcBorders>
              <w:left w:val="nil"/>
              <w:bottom w:val="nil"/>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454" w:type="dxa"/>
            <w:vMerge w:val="continue"/>
            <w:tcBorders>
              <w:top w:val="single" w:color="auto" w:sz="8" w:space="0"/>
              <w:left w:val="single" w:color="auto" w:sz="8" w:space="0"/>
              <w:bottom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793" w:type="dxa"/>
            <w:gridSpan w:val="2"/>
            <w:tcBorders>
              <w:top w:val="single" w:color="auto" w:sz="4" w:space="0"/>
              <w:bottom w:val="single" w:color="auto" w:sz="8"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业态和</w:t>
            </w:r>
          </w:p>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规模</w:t>
            </w:r>
          </w:p>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（10分）</w:t>
            </w:r>
          </w:p>
        </w:tc>
        <w:tc>
          <w:tcPr>
            <w:tcW w:w="5094" w:type="dxa"/>
            <w:gridSpan w:val="18"/>
            <w:tcBorders>
              <w:top w:val="single" w:color="auto" w:sz="4" w:space="0"/>
              <w:bottom w:val="single" w:color="auto" w:sz="8"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制作食品的类别和数量</w:t>
            </w:r>
          </w:p>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（30分）</w:t>
            </w:r>
          </w:p>
        </w:tc>
        <w:tc>
          <w:tcPr>
            <w:tcW w:w="394" w:type="dxa"/>
            <w:vMerge w:val="continue"/>
            <w:tcBorders>
              <w:bottom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1655" w:type="dxa"/>
            <w:vMerge w:val="continue"/>
            <w:tcBorders>
              <w:top w:val="single" w:color="auto" w:sz="4" w:space="0"/>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r>
    </w:tbl>
    <w:tbl>
      <w:tblPr>
        <w:tblStyle w:val="5"/>
        <w:tblW w:w="8740" w:type="dxa"/>
        <w:jc w:val="center"/>
        <w:tblInd w:w="176" w:type="dxa"/>
        <w:shd w:val="clear" w:color="auto" w:fill="auto"/>
        <w:tblLayout w:type="fixed"/>
        <w:tblCellMar>
          <w:top w:w="0" w:type="dxa"/>
          <w:left w:w="0" w:type="dxa"/>
          <w:bottom w:w="0" w:type="dxa"/>
          <w:right w:w="0" w:type="dxa"/>
        </w:tblCellMar>
      </w:tblPr>
      <w:tblGrid>
        <w:gridCol w:w="1061"/>
        <w:gridCol w:w="91"/>
        <w:gridCol w:w="1848"/>
        <w:gridCol w:w="116"/>
        <w:gridCol w:w="867"/>
        <w:gridCol w:w="557"/>
        <w:gridCol w:w="810"/>
        <w:gridCol w:w="184"/>
        <w:gridCol w:w="466"/>
        <w:gridCol w:w="717"/>
        <w:gridCol w:w="693"/>
        <w:gridCol w:w="1330"/>
      </w:tblGrid>
      <w:tr>
        <w:tblPrEx>
          <w:shd w:val="clear" w:color="auto" w:fill="auto"/>
          <w:tblLayout w:type="fixed"/>
          <w:tblCellMar>
            <w:top w:w="0" w:type="dxa"/>
            <w:left w:w="0" w:type="dxa"/>
            <w:bottom w:w="0" w:type="dxa"/>
            <w:right w:w="0" w:type="dxa"/>
          </w:tblCellMar>
        </w:tblPrEx>
        <w:trPr>
          <w:trHeight w:val="960" w:hRule="atLeast"/>
          <w:jc w:val="center"/>
        </w:trPr>
        <w:tc>
          <w:tcPr>
            <w:tcW w:w="8740" w:type="dxa"/>
            <w:gridSpan w:val="12"/>
            <w:tcBorders>
              <w:top w:val="nil"/>
              <w:left w:val="nil"/>
              <w:bottom w:val="nil"/>
              <w:right w:val="nil"/>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方正小标宋简体" w:hAnsi="方正小标宋简体" w:eastAsia="方正小标宋简体" w:cs="方正小标宋简体"/>
                <w:i w:val="0"/>
                <w:color w:val="000000"/>
                <w:sz w:val="44"/>
                <w:szCs w:val="44"/>
                <w:u w:val="none"/>
              </w:rPr>
            </w:pPr>
            <w:r>
              <w:rPr>
                <w:rFonts w:hint="eastAsia" w:ascii="方正小标宋简体" w:hAnsi="方正小标宋简体" w:eastAsia="方正小标宋简体" w:cs="方正小标宋简体"/>
                <w:i w:val="0"/>
                <w:color w:val="000000"/>
                <w:kern w:val="0"/>
                <w:sz w:val="32"/>
                <w:szCs w:val="32"/>
                <w:u w:val="none"/>
                <w:lang w:val="en-US" w:eastAsia="zh-CN" w:bidi="ar"/>
              </w:rPr>
              <w:t>河北省</w:t>
            </w:r>
            <w:r>
              <w:rPr>
                <w:rFonts w:hint="eastAsia" w:ascii="方正小标宋简体" w:hAnsi="方正小标宋简体" w:eastAsia="方正小标宋简体" w:cs="方正小标宋简体"/>
                <w:i w:val="0"/>
                <w:color w:val="000000"/>
                <w:kern w:val="0"/>
                <w:sz w:val="32"/>
                <w:szCs w:val="32"/>
                <w:u w:val="single"/>
                <w:lang w:val="en-US" w:eastAsia="zh-CN" w:bidi="ar"/>
              </w:rPr>
              <w:t xml:space="preserve">                    </w:t>
            </w:r>
            <w:r>
              <w:rPr>
                <w:rFonts w:hint="eastAsia" w:ascii="方正小标宋简体" w:hAnsi="方正小标宋简体" w:eastAsia="方正小标宋简体" w:cs="方正小标宋简体"/>
                <w:i w:val="0"/>
                <w:color w:val="000000"/>
                <w:kern w:val="0"/>
                <w:sz w:val="32"/>
                <w:szCs w:val="32"/>
                <w:u w:val="none"/>
                <w:lang w:val="en-US" w:eastAsia="zh-CN" w:bidi="ar"/>
              </w:rPr>
              <w:t>市场监督管理局</w:t>
            </w:r>
            <w:r>
              <w:rPr>
                <w:rFonts w:hint="eastAsia" w:ascii="方正小标宋简体" w:hAnsi="方正小标宋简体" w:eastAsia="方正小标宋简体" w:cs="方正小标宋简体"/>
                <w:i w:val="0"/>
                <w:color w:val="000000"/>
                <w:kern w:val="0"/>
                <w:sz w:val="32"/>
                <w:szCs w:val="32"/>
                <w:u w:val="none"/>
                <w:lang w:val="en-US" w:eastAsia="zh-CN" w:bidi="ar"/>
              </w:rPr>
              <w:br w:type="textWrapping"/>
            </w:r>
            <w:r>
              <w:rPr>
                <w:rFonts w:hint="eastAsia" w:ascii="方正小标宋简体" w:hAnsi="方正小标宋简体" w:eastAsia="方正小标宋简体" w:cs="方正小标宋简体"/>
                <w:i w:val="0"/>
                <w:color w:val="000000"/>
                <w:kern w:val="0"/>
                <w:sz w:val="44"/>
                <w:szCs w:val="44"/>
                <w:u w:val="none"/>
                <w:lang w:val="en-US" w:eastAsia="zh-CN" w:bidi="ar"/>
              </w:rPr>
              <w:t>餐饮服务食品安全监督检查结果记录表</w:t>
            </w:r>
          </w:p>
        </w:tc>
      </w:tr>
      <w:tr>
        <w:tblPrEx>
          <w:tblLayout w:type="fixed"/>
          <w:tblCellMar>
            <w:top w:w="0" w:type="dxa"/>
            <w:left w:w="0" w:type="dxa"/>
            <w:bottom w:w="0" w:type="dxa"/>
            <w:right w:w="0" w:type="dxa"/>
          </w:tblCellMar>
        </w:tblPrEx>
        <w:trPr>
          <w:trHeight w:val="280" w:hRule="atLeast"/>
          <w:jc w:val="center"/>
        </w:trPr>
        <w:tc>
          <w:tcPr>
            <w:tcW w:w="1061" w:type="dxa"/>
            <w:tcBorders>
              <w:top w:val="nil"/>
              <w:left w:val="nil"/>
              <w:bottom w:val="nil"/>
              <w:right w:val="nil"/>
            </w:tcBorders>
            <w:shd w:val="clear" w:color="auto" w:fill="auto"/>
            <w:tcMar>
              <w:top w:w="10" w:type="dxa"/>
              <w:left w:w="10" w:type="dxa"/>
              <w:right w:w="10" w:type="dxa"/>
            </w:tcMar>
            <w:vAlign w:val="bottom"/>
          </w:tcPr>
          <w:p>
            <w:pPr>
              <w:keepNext w:val="0"/>
              <w:keepLines w:val="0"/>
              <w:pageBreakBefore w:val="0"/>
              <w:widowControl/>
              <w:kinsoku/>
              <w:wordWrap/>
              <w:overflowPunct/>
              <w:topLinePunct w:val="0"/>
              <w:autoSpaceDE/>
              <w:autoSpaceDN/>
              <w:bidi w:val="0"/>
              <w:adjustRightInd/>
              <w:snapToGrid/>
              <w:spacing w:line="400" w:lineRule="exact"/>
              <w:jc w:val="right"/>
              <w:outlineLvl w:val="9"/>
              <w:rPr>
                <w:rFonts w:hint="eastAsia" w:ascii="宋体" w:hAnsi="宋体" w:eastAsia="宋体" w:cs="宋体"/>
                <w:i w:val="0"/>
                <w:color w:val="000000"/>
                <w:sz w:val="21"/>
                <w:szCs w:val="21"/>
                <w:u w:val="none"/>
              </w:rPr>
            </w:pPr>
          </w:p>
        </w:tc>
        <w:tc>
          <w:tcPr>
            <w:tcW w:w="1939" w:type="dxa"/>
            <w:gridSpan w:val="2"/>
            <w:tcBorders>
              <w:top w:val="nil"/>
              <w:left w:val="nil"/>
              <w:bottom w:val="nil"/>
              <w:right w:val="nil"/>
            </w:tcBorders>
            <w:shd w:val="clear" w:color="auto" w:fill="auto"/>
            <w:tcMar>
              <w:top w:w="10" w:type="dxa"/>
              <w:left w:w="10" w:type="dxa"/>
              <w:right w:w="10" w:type="dxa"/>
            </w:tcMar>
            <w:vAlign w:val="bottom"/>
          </w:tcPr>
          <w:p>
            <w:pPr>
              <w:keepNext w:val="0"/>
              <w:keepLines w:val="0"/>
              <w:pageBreakBefore w:val="0"/>
              <w:widowControl/>
              <w:kinsoku/>
              <w:wordWrap/>
              <w:overflowPunct/>
              <w:topLinePunct w:val="0"/>
              <w:autoSpaceDE/>
              <w:autoSpaceDN/>
              <w:bidi w:val="0"/>
              <w:adjustRightInd/>
              <w:snapToGrid/>
              <w:spacing w:line="400" w:lineRule="exact"/>
              <w:jc w:val="right"/>
              <w:outlineLvl w:val="9"/>
              <w:rPr>
                <w:rFonts w:hint="eastAsia" w:ascii="宋体" w:hAnsi="宋体" w:eastAsia="宋体" w:cs="宋体"/>
                <w:i w:val="0"/>
                <w:color w:val="000000"/>
                <w:sz w:val="21"/>
                <w:szCs w:val="21"/>
                <w:u w:val="none"/>
              </w:rPr>
            </w:pPr>
          </w:p>
        </w:tc>
        <w:tc>
          <w:tcPr>
            <w:tcW w:w="983" w:type="dxa"/>
            <w:gridSpan w:val="2"/>
            <w:tcBorders>
              <w:top w:val="nil"/>
              <w:left w:val="nil"/>
              <w:bottom w:val="nil"/>
              <w:right w:val="nil"/>
            </w:tcBorders>
            <w:shd w:val="clear" w:color="auto" w:fill="auto"/>
            <w:tcMar>
              <w:top w:w="10" w:type="dxa"/>
              <w:left w:w="10" w:type="dxa"/>
              <w:right w:w="10" w:type="dxa"/>
            </w:tcMar>
            <w:vAlign w:val="bottom"/>
          </w:tcPr>
          <w:p>
            <w:pPr>
              <w:keepNext w:val="0"/>
              <w:keepLines w:val="0"/>
              <w:pageBreakBefore w:val="0"/>
              <w:widowControl/>
              <w:kinsoku/>
              <w:wordWrap/>
              <w:overflowPunct/>
              <w:topLinePunct w:val="0"/>
              <w:autoSpaceDE/>
              <w:autoSpaceDN/>
              <w:bidi w:val="0"/>
              <w:adjustRightInd/>
              <w:snapToGrid/>
              <w:spacing w:line="400" w:lineRule="exact"/>
              <w:jc w:val="right"/>
              <w:outlineLvl w:val="9"/>
              <w:rPr>
                <w:rFonts w:hint="eastAsia" w:ascii="宋体" w:hAnsi="宋体" w:eastAsia="宋体" w:cs="宋体"/>
                <w:i w:val="0"/>
                <w:color w:val="000000"/>
                <w:sz w:val="21"/>
                <w:szCs w:val="21"/>
                <w:u w:val="none"/>
              </w:rPr>
            </w:pPr>
          </w:p>
        </w:tc>
        <w:tc>
          <w:tcPr>
            <w:tcW w:w="1367" w:type="dxa"/>
            <w:gridSpan w:val="2"/>
            <w:tcBorders>
              <w:top w:val="nil"/>
              <w:left w:val="nil"/>
              <w:bottom w:val="nil"/>
              <w:right w:val="nil"/>
            </w:tcBorders>
            <w:shd w:val="clear" w:color="auto" w:fill="auto"/>
            <w:tcMar>
              <w:top w:w="10" w:type="dxa"/>
              <w:left w:w="10" w:type="dxa"/>
              <w:right w:w="10" w:type="dxa"/>
            </w:tcMar>
            <w:vAlign w:val="bottom"/>
          </w:tcPr>
          <w:p>
            <w:pPr>
              <w:keepNext w:val="0"/>
              <w:keepLines w:val="0"/>
              <w:pageBreakBefore w:val="0"/>
              <w:widowControl/>
              <w:kinsoku/>
              <w:wordWrap/>
              <w:overflowPunct/>
              <w:topLinePunct w:val="0"/>
              <w:autoSpaceDE/>
              <w:autoSpaceDN/>
              <w:bidi w:val="0"/>
              <w:adjustRightInd/>
              <w:snapToGrid/>
              <w:spacing w:line="400" w:lineRule="exact"/>
              <w:jc w:val="right"/>
              <w:outlineLvl w:val="9"/>
              <w:rPr>
                <w:rFonts w:hint="eastAsia" w:ascii="宋体" w:hAnsi="宋体" w:eastAsia="宋体" w:cs="宋体"/>
                <w:i w:val="0"/>
                <w:color w:val="000000"/>
                <w:sz w:val="21"/>
                <w:szCs w:val="21"/>
                <w:u w:val="none"/>
              </w:rPr>
            </w:pPr>
          </w:p>
        </w:tc>
        <w:tc>
          <w:tcPr>
            <w:tcW w:w="1367" w:type="dxa"/>
            <w:gridSpan w:val="3"/>
            <w:tcBorders>
              <w:top w:val="nil"/>
              <w:left w:val="nil"/>
              <w:bottom w:val="nil"/>
              <w:right w:val="nil"/>
            </w:tcBorders>
            <w:shd w:val="clear" w:color="auto" w:fill="auto"/>
            <w:tcMar>
              <w:top w:w="10" w:type="dxa"/>
              <w:left w:w="10" w:type="dxa"/>
              <w:right w:w="10"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编号：</w:t>
            </w:r>
          </w:p>
        </w:tc>
        <w:tc>
          <w:tcPr>
            <w:tcW w:w="2023" w:type="dxa"/>
            <w:gridSpan w:val="2"/>
            <w:tcBorders>
              <w:top w:val="nil"/>
              <w:left w:val="nil"/>
              <w:bottom w:val="nil"/>
              <w:right w:val="nil"/>
            </w:tcBorders>
            <w:shd w:val="clear" w:color="auto" w:fill="auto"/>
            <w:tcMar>
              <w:top w:w="10" w:type="dxa"/>
              <w:left w:w="10" w:type="dxa"/>
              <w:right w:w="10" w:type="dxa"/>
            </w:tcMar>
            <w:vAlign w:val="bottom"/>
          </w:tcPr>
          <w:p>
            <w:pPr>
              <w:keepNext w:val="0"/>
              <w:keepLines w:val="0"/>
              <w:pageBreakBefore w:val="0"/>
              <w:widowControl/>
              <w:kinsoku/>
              <w:wordWrap/>
              <w:overflowPunct/>
              <w:topLinePunct w:val="0"/>
              <w:autoSpaceDE/>
              <w:autoSpaceDN/>
              <w:bidi w:val="0"/>
              <w:adjustRightInd/>
              <w:snapToGrid/>
              <w:spacing w:line="400" w:lineRule="exact"/>
              <w:jc w:val="right"/>
              <w:outlineLvl w:val="9"/>
              <w:rPr>
                <w:rFonts w:hint="eastAsia" w:ascii="宋体" w:hAnsi="宋体" w:eastAsia="宋体" w:cs="宋体"/>
                <w:i w:val="0"/>
                <w:color w:val="000000"/>
                <w:sz w:val="21"/>
                <w:szCs w:val="21"/>
                <w:u w:val="none"/>
              </w:rPr>
            </w:pPr>
          </w:p>
        </w:tc>
      </w:tr>
      <w:tr>
        <w:tblPrEx>
          <w:tblLayout w:type="fixed"/>
          <w:tblCellMar>
            <w:top w:w="0" w:type="dxa"/>
            <w:left w:w="0" w:type="dxa"/>
            <w:bottom w:w="0" w:type="dxa"/>
            <w:right w:w="0" w:type="dxa"/>
          </w:tblCellMar>
        </w:tblPrEx>
        <w:trPr>
          <w:trHeight w:val="369" w:hRule="atLeast"/>
          <w:jc w:val="center"/>
        </w:trPr>
        <w:tc>
          <w:tcPr>
            <w:tcW w:w="1152"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名  称</w:t>
            </w:r>
          </w:p>
        </w:tc>
        <w:tc>
          <w:tcPr>
            <w:tcW w:w="4382" w:type="dxa"/>
            <w:gridSpan w:val="6"/>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1"/>
                <w:szCs w:val="21"/>
                <w:u w:val="none"/>
              </w:rPr>
            </w:pPr>
          </w:p>
        </w:tc>
        <w:tc>
          <w:tcPr>
            <w:tcW w:w="1183"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联 系 人</w:t>
            </w:r>
          </w:p>
        </w:tc>
        <w:tc>
          <w:tcPr>
            <w:tcW w:w="2023"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宋体" w:hAnsi="宋体" w:eastAsia="宋体" w:cs="宋体"/>
                <w:i w:val="0"/>
                <w:color w:val="000000"/>
                <w:sz w:val="21"/>
                <w:szCs w:val="21"/>
                <w:u w:val="none"/>
              </w:rPr>
            </w:pPr>
          </w:p>
        </w:tc>
      </w:tr>
      <w:tr>
        <w:tblPrEx>
          <w:tblLayout w:type="fixed"/>
          <w:tblCellMar>
            <w:top w:w="0" w:type="dxa"/>
            <w:left w:w="0" w:type="dxa"/>
            <w:bottom w:w="0" w:type="dxa"/>
            <w:right w:w="0" w:type="dxa"/>
          </w:tblCellMar>
        </w:tblPrEx>
        <w:trPr>
          <w:trHeight w:val="369" w:hRule="atLeast"/>
          <w:jc w:val="center"/>
        </w:trPr>
        <w:tc>
          <w:tcPr>
            <w:tcW w:w="1152"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地  址</w:t>
            </w:r>
          </w:p>
        </w:tc>
        <w:tc>
          <w:tcPr>
            <w:tcW w:w="4382" w:type="dxa"/>
            <w:gridSpan w:val="6"/>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1"/>
                <w:szCs w:val="21"/>
                <w:u w:val="none"/>
              </w:rPr>
            </w:pPr>
          </w:p>
        </w:tc>
        <w:tc>
          <w:tcPr>
            <w:tcW w:w="1183"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联系方式</w:t>
            </w:r>
          </w:p>
        </w:tc>
        <w:tc>
          <w:tcPr>
            <w:tcW w:w="2023"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宋体" w:hAnsi="宋体" w:eastAsia="宋体" w:cs="宋体"/>
                <w:i w:val="0"/>
                <w:color w:val="000000"/>
                <w:sz w:val="21"/>
                <w:szCs w:val="21"/>
                <w:u w:val="none"/>
              </w:rPr>
            </w:pPr>
          </w:p>
        </w:tc>
      </w:tr>
      <w:tr>
        <w:tblPrEx>
          <w:tblLayout w:type="fixed"/>
          <w:tblCellMar>
            <w:top w:w="0" w:type="dxa"/>
            <w:left w:w="0" w:type="dxa"/>
            <w:bottom w:w="0" w:type="dxa"/>
            <w:right w:w="0" w:type="dxa"/>
          </w:tblCellMar>
        </w:tblPrEx>
        <w:trPr>
          <w:trHeight w:val="369" w:hRule="atLeast"/>
          <w:jc w:val="center"/>
        </w:trPr>
        <w:tc>
          <w:tcPr>
            <w:tcW w:w="1152"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许可证号</w:t>
            </w:r>
          </w:p>
        </w:tc>
        <w:tc>
          <w:tcPr>
            <w:tcW w:w="4382" w:type="dxa"/>
            <w:gridSpan w:val="6"/>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1"/>
                <w:szCs w:val="21"/>
                <w:u w:val="none"/>
              </w:rPr>
            </w:pPr>
          </w:p>
        </w:tc>
        <w:tc>
          <w:tcPr>
            <w:tcW w:w="1183"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检查次数</w:t>
            </w:r>
          </w:p>
        </w:tc>
        <w:tc>
          <w:tcPr>
            <w:tcW w:w="2023"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本年度第</w:t>
            </w:r>
            <w:r>
              <w:rPr>
                <w:rStyle w:val="12"/>
                <w:lang w:val="en-US" w:eastAsia="zh-CN" w:bidi="ar"/>
              </w:rPr>
              <w:t xml:space="preserve">  </w:t>
            </w:r>
            <w:r>
              <w:rPr>
                <w:rStyle w:val="12"/>
                <w:rFonts w:hint="eastAsia"/>
                <w:lang w:val="en-US" w:eastAsia="zh-CN" w:bidi="ar"/>
              </w:rPr>
              <w:t xml:space="preserve"> </w:t>
            </w:r>
            <w:r>
              <w:rPr>
                <w:rStyle w:val="12"/>
                <w:lang w:val="en-US" w:eastAsia="zh-CN" w:bidi="ar"/>
              </w:rPr>
              <w:t xml:space="preserve"> </w:t>
            </w:r>
            <w:r>
              <w:rPr>
                <w:rFonts w:hint="eastAsia" w:ascii="宋体" w:hAnsi="宋体" w:eastAsia="宋体" w:cs="宋体"/>
                <w:i w:val="0"/>
                <w:color w:val="000000"/>
                <w:kern w:val="0"/>
                <w:sz w:val="21"/>
                <w:szCs w:val="21"/>
                <w:u w:val="none"/>
                <w:lang w:val="en-US" w:eastAsia="zh-CN" w:bidi="ar"/>
              </w:rPr>
              <w:t>次检查</w:t>
            </w:r>
          </w:p>
        </w:tc>
      </w:tr>
      <w:tr>
        <w:tblPrEx>
          <w:tblLayout w:type="fixed"/>
          <w:tblCellMar>
            <w:top w:w="0" w:type="dxa"/>
            <w:left w:w="0" w:type="dxa"/>
            <w:bottom w:w="0" w:type="dxa"/>
            <w:right w:w="0" w:type="dxa"/>
          </w:tblCellMar>
        </w:tblPrEx>
        <w:trPr>
          <w:trHeight w:val="1361" w:hRule="atLeast"/>
          <w:jc w:val="center"/>
        </w:trPr>
        <w:tc>
          <w:tcPr>
            <w:tcW w:w="8740" w:type="dxa"/>
            <w:gridSpan w:val="12"/>
            <w:tcBorders>
              <w:top w:val="single" w:color="000000" w:sz="4" w:space="0"/>
              <w:left w:val="single" w:color="000000" w:sz="4" w:space="0"/>
              <w:bottom w:val="single" w:color="000000" w:sz="4" w:space="0"/>
              <w:right w:val="single" w:color="000000" w:sz="4" w:space="0"/>
            </w:tcBorders>
            <w:shd w:val="clear" w:color="auto" w:fill="auto"/>
            <w:tcMar>
              <w:top w:w="11" w:type="dxa"/>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检查内容：</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    </w:t>
            </w:r>
            <w:r>
              <w:rPr>
                <w:rStyle w:val="12"/>
                <w:lang w:val="en-US" w:eastAsia="zh-CN" w:bidi="ar"/>
              </w:rPr>
              <w:t xml:space="preserve">                    </w:t>
            </w:r>
            <w:r>
              <w:rPr>
                <w:rStyle w:val="12"/>
                <w:rFonts w:hint="eastAsia"/>
                <w:lang w:val="en-US" w:eastAsia="zh-CN" w:bidi="ar"/>
              </w:rPr>
              <w:t xml:space="preserve">  </w:t>
            </w:r>
            <w:r>
              <w:rPr>
                <w:rStyle w:val="12"/>
                <w:lang w:val="en-US" w:eastAsia="zh-CN" w:bidi="ar"/>
              </w:rPr>
              <w:t xml:space="preserve">   </w:t>
            </w:r>
            <w:r>
              <w:rPr>
                <w:rFonts w:hint="eastAsia" w:ascii="宋体" w:hAnsi="宋体" w:eastAsia="宋体" w:cs="宋体"/>
                <w:i w:val="0"/>
                <w:color w:val="000000"/>
                <w:kern w:val="0"/>
                <w:sz w:val="21"/>
                <w:szCs w:val="21"/>
                <w:u w:val="none"/>
                <w:lang w:val="en-US" w:eastAsia="zh-CN" w:bidi="ar"/>
              </w:rPr>
              <w:t>（市场监管部门）检查人员</w:t>
            </w:r>
            <w:r>
              <w:rPr>
                <w:rStyle w:val="12"/>
                <w:lang w:val="en-US" w:eastAsia="zh-CN" w:bidi="ar"/>
              </w:rPr>
              <w:t xml:space="preserve">        </w:t>
            </w:r>
            <w:r>
              <w:rPr>
                <w:rStyle w:val="12"/>
                <w:rFonts w:hint="eastAsia"/>
                <w:lang w:val="en-US" w:eastAsia="zh-CN" w:bidi="ar"/>
              </w:rPr>
              <w:t xml:space="preserve"> </w:t>
            </w:r>
            <w:r>
              <w:rPr>
                <w:rStyle w:val="12"/>
                <w:lang w:val="en-US" w:eastAsia="zh-CN" w:bidi="ar"/>
              </w:rPr>
              <w:t xml:space="preserve">                  </w:t>
            </w:r>
            <w:r>
              <w:rPr>
                <w:rStyle w:val="12"/>
                <w:u w:val="none"/>
                <w:lang w:val="en-US" w:eastAsia="zh-CN" w:bidi="ar"/>
              </w:rPr>
              <w:t>依</w:t>
            </w:r>
            <w:r>
              <w:rPr>
                <w:rFonts w:hint="eastAsia" w:ascii="宋体" w:hAnsi="宋体" w:eastAsia="宋体" w:cs="宋体"/>
                <w:i w:val="0"/>
                <w:color w:val="000000"/>
                <w:kern w:val="0"/>
                <w:sz w:val="21"/>
                <w:szCs w:val="21"/>
                <w:u w:val="none"/>
                <w:lang w:val="en-US" w:eastAsia="zh-CN" w:bidi="ar"/>
              </w:rPr>
              <w:t>据《中华人民共和国食品安全法》及其实施条例、国家和河北省关于食品生产经营日常监督检查、餐饮服务食品安全量化分级管理、食品生产经营风险分级管理的规定，于</w:t>
            </w:r>
            <w:r>
              <w:rPr>
                <w:rStyle w:val="12"/>
                <w:rFonts w:hint="eastAsia"/>
                <w:u w:val="none"/>
                <w:lang w:val="en-US" w:eastAsia="zh-CN" w:bidi="ar"/>
              </w:rPr>
              <w:t>20</w:t>
            </w:r>
            <w:r>
              <w:rPr>
                <w:rStyle w:val="12"/>
                <w:lang w:val="en-US" w:eastAsia="zh-CN" w:bidi="ar"/>
              </w:rPr>
              <w:t xml:space="preserve"> </w:t>
            </w:r>
            <w:r>
              <w:rPr>
                <w:rStyle w:val="12"/>
                <w:rFonts w:hint="eastAsia"/>
                <w:lang w:val="en-US" w:eastAsia="zh-CN" w:bidi="ar"/>
              </w:rPr>
              <w:t xml:space="preserve">  </w:t>
            </w:r>
            <w:r>
              <w:rPr>
                <w:rStyle w:val="12"/>
                <w:lang w:val="en-US" w:eastAsia="zh-CN" w:bidi="ar"/>
              </w:rPr>
              <w:t xml:space="preserve"> </w:t>
            </w:r>
            <w:r>
              <w:rPr>
                <w:rFonts w:hint="eastAsia" w:ascii="宋体" w:hAnsi="宋体" w:eastAsia="宋体" w:cs="宋体"/>
                <w:i w:val="0"/>
                <w:color w:val="000000"/>
                <w:kern w:val="0"/>
                <w:sz w:val="21"/>
                <w:szCs w:val="21"/>
                <w:u w:val="none"/>
                <w:lang w:val="en-US" w:eastAsia="zh-CN" w:bidi="ar"/>
              </w:rPr>
              <w:t>年</w:t>
            </w:r>
          </w:p>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color w:val="000000"/>
                <w:sz w:val="21"/>
                <w:szCs w:val="21"/>
                <w:u w:val="none"/>
              </w:rPr>
            </w:pPr>
            <w:r>
              <w:rPr>
                <w:rStyle w:val="12"/>
                <w:lang w:val="en-US" w:eastAsia="zh-CN" w:bidi="ar"/>
              </w:rPr>
              <w:t xml:space="preserve">    </w:t>
            </w:r>
            <w:r>
              <w:rPr>
                <w:rFonts w:hint="eastAsia" w:ascii="宋体" w:hAnsi="宋体" w:eastAsia="宋体" w:cs="宋体"/>
                <w:i w:val="0"/>
                <w:color w:val="000000"/>
                <w:kern w:val="0"/>
                <w:sz w:val="21"/>
                <w:szCs w:val="21"/>
                <w:u w:val="none"/>
                <w:lang w:val="en-US" w:eastAsia="zh-CN" w:bidi="ar"/>
              </w:rPr>
              <w:t>月</w:t>
            </w:r>
            <w:r>
              <w:rPr>
                <w:rStyle w:val="12"/>
                <w:lang w:val="en-US" w:eastAsia="zh-CN" w:bidi="ar"/>
              </w:rPr>
              <w:t xml:space="preserve">    </w:t>
            </w:r>
            <w:r>
              <w:rPr>
                <w:rFonts w:hint="eastAsia" w:ascii="宋体" w:hAnsi="宋体" w:eastAsia="宋体" w:cs="宋体"/>
                <w:i w:val="0"/>
                <w:color w:val="000000"/>
                <w:kern w:val="0"/>
                <w:sz w:val="21"/>
                <w:szCs w:val="21"/>
                <w:u w:val="none"/>
                <w:lang w:val="en-US" w:eastAsia="zh-CN" w:bidi="ar"/>
              </w:rPr>
              <w:t>日对你单位进行了监督检查。本次检查按照《餐饮服务食品安全监督检查参考要点表》开展。</w:t>
            </w:r>
          </w:p>
        </w:tc>
      </w:tr>
      <w:tr>
        <w:tblPrEx>
          <w:tblLayout w:type="fixed"/>
          <w:tblCellMar>
            <w:top w:w="0" w:type="dxa"/>
            <w:left w:w="0" w:type="dxa"/>
            <w:bottom w:w="0" w:type="dxa"/>
            <w:right w:w="0" w:type="dxa"/>
          </w:tblCellMar>
        </w:tblPrEx>
        <w:trPr>
          <w:trHeight w:val="340" w:hRule="atLeast"/>
          <w:jc w:val="center"/>
        </w:trPr>
        <w:tc>
          <w:tcPr>
            <w:tcW w:w="1061"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检查结果</w:t>
            </w:r>
          </w:p>
        </w:tc>
        <w:tc>
          <w:tcPr>
            <w:tcW w:w="1939"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日常监督检查</w:t>
            </w:r>
          </w:p>
        </w:tc>
        <w:tc>
          <w:tcPr>
            <w:tcW w:w="1540" w:type="dxa"/>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□符  合</w:t>
            </w:r>
          </w:p>
        </w:tc>
        <w:tc>
          <w:tcPr>
            <w:tcW w:w="2870" w:type="dxa"/>
            <w:gridSpan w:val="5"/>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□基本符合</w:t>
            </w:r>
          </w:p>
        </w:tc>
        <w:tc>
          <w:tcPr>
            <w:tcW w:w="133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□不符合</w:t>
            </w:r>
          </w:p>
        </w:tc>
      </w:tr>
      <w:tr>
        <w:tblPrEx>
          <w:tblLayout w:type="fixed"/>
          <w:tblCellMar>
            <w:top w:w="0" w:type="dxa"/>
            <w:left w:w="0" w:type="dxa"/>
            <w:bottom w:w="0" w:type="dxa"/>
            <w:right w:w="0" w:type="dxa"/>
          </w:tblCellMar>
        </w:tblPrEx>
        <w:trPr>
          <w:trHeight w:val="476" w:hRule="atLeast"/>
          <w:jc w:val="center"/>
        </w:trPr>
        <w:tc>
          <w:tcPr>
            <w:tcW w:w="10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1"/>
                <w:szCs w:val="21"/>
                <w:u w:val="none"/>
              </w:rPr>
            </w:pPr>
          </w:p>
        </w:tc>
        <w:tc>
          <w:tcPr>
            <w:tcW w:w="1939"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动态等级</w:t>
            </w:r>
          </w:p>
        </w:tc>
        <w:tc>
          <w:tcPr>
            <w:tcW w:w="1540" w:type="dxa"/>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□优秀</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（≥9.0分）</w:t>
            </w:r>
          </w:p>
        </w:tc>
        <w:tc>
          <w:tcPr>
            <w:tcW w:w="1460" w:type="dxa"/>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□良好</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（7.5-8.9分）</w:t>
            </w:r>
          </w:p>
        </w:tc>
        <w:tc>
          <w:tcPr>
            <w:tcW w:w="141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□一般</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（6.0-7.4分）</w:t>
            </w:r>
          </w:p>
        </w:tc>
        <w:tc>
          <w:tcPr>
            <w:tcW w:w="133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□需整改</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（≤5.9分）</w:t>
            </w:r>
          </w:p>
        </w:tc>
      </w:tr>
      <w:tr>
        <w:tblPrEx>
          <w:tblLayout w:type="fixed"/>
          <w:tblCellMar>
            <w:top w:w="0" w:type="dxa"/>
            <w:left w:w="0" w:type="dxa"/>
            <w:bottom w:w="0" w:type="dxa"/>
            <w:right w:w="0" w:type="dxa"/>
          </w:tblCellMar>
        </w:tblPrEx>
        <w:trPr>
          <w:trHeight w:val="764" w:hRule="atLeast"/>
          <w:jc w:val="center"/>
        </w:trPr>
        <w:tc>
          <w:tcPr>
            <w:tcW w:w="10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1"/>
                <w:szCs w:val="21"/>
                <w:u w:val="none"/>
              </w:rPr>
            </w:pPr>
          </w:p>
        </w:tc>
        <w:tc>
          <w:tcPr>
            <w:tcW w:w="1939"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风险等级</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（动态风险因素量化分值+静态风险因素量化分值）</w:t>
            </w:r>
          </w:p>
        </w:tc>
        <w:tc>
          <w:tcPr>
            <w:tcW w:w="1540" w:type="dxa"/>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□A级</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（0-30分）</w:t>
            </w:r>
          </w:p>
        </w:tc>
        <w:tc>
          <w:tcPr>
            <w:tcW w:w="1460" w:type="dxa"/>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□B级</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（31-45分）</w:t>
            </w:r>
          </w:p>
        </w:tc>
        <w:tc>
          <w:tcPr>
            <w:tcW w:w="141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□C级</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（46-60分）</w:t>
            </w:r>
          </w:p>
        </w:tc>
        <w:tc>
          <w:tcPr>
            <w:tcW w:w="133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□D级</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（＞60分）</w:t>
            </w:r>
          </w:p>
        </w:tc>
      </w:tr>
      <w:tr>
        <w:tblPrEx>
          <w:tblLayout w:type="fixed"/>
          <w:tblCellMar>
            <w:top w:w="0" w:type="dxa"/>
            <w:left w:w="0" w:type="dxa"/>
            <w:bottom w:w="0" w:type="dxa"/>
            <w:right w:w="0" w:type="dxa"/>
          </w:tblCellMar>
        </w:tblPrEx>
        <w:trPr>
          <w:trHeight w:val="732" w:hRule="atLeast"/>
          <w:jc w:val="center"/>
        </w:trPr>
        <w:tc>
          <w:tcPr>
            <w:tcW w:w="1061"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结果处理</w:t>
            </w:r>
          </w:p>
        </w:tc>
        <w:tc>
          <w:tcPr>
            <w:tcW w:w="1939"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本次检查</w:t>
            </w:r>
          </w:p>
        </w:tc>
        <w:tc>
          <w:tcPr>
            <w:tcW w:w="5740" w:type="dxa"/>
            <w:gridSpan w:val="9"/>
            <w:tcBorders>
              <w:top w:val="single" w:color="000000" w:sz="4" w:space="0"/>
              <w:left w:val="single" w:color="000000" w:sz="4" w:space="0"/>
              <w:bottom w:val="single" w:color="000000" w:sz="4" w:space="0"/>
              <w:right w:val="single" w:color="000000" w:sz="4" w:space="0"/>
            </w:tcBorders>
            <w:shd w:val="clear" w:color="auto" w:fill="auto"/>
            <w:tcMar>
              <w:top w:w="11" w:type="dxa"/>
              <w:left w:w="57"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□1.通过。</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□2.书面通知整改，限</w:t>
            </w:r>
            <w:r>
              <w:rPr>
                <w:rStyle w:val="12"/>
                <w:lang w:val="en-US" w:eastAsia="zh-CN" w:bidi="ar"/>
              </w:rPr>
              <w:t xml:space="preserve">     </w:t>
            </w:r>
            <w:r>
              <w:rPr>
                <w:rFonts w:hint="eastAsia" w:ascii="宋体" w:hAnsi="宋体" w:eastAsia="宋体" w:cs="宋体"/>
                <w:i w:val="0"/>
                <w:color w:val="000000"/>
                <w:kern w:val="0"/>
                <w:sz w:val="21"/>
                <w:szCs w:val="21"/>
                <w:u w:val="none"/>
                <w:lang w:val="en-US" w:eastAsia="zh-CN" w:bidi="ar"/>
              </w:rPr>
              <w:t>日内改正。</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□3.责令立即停止经营。</w:t>
            </w:r>
          </w:p>
        </w:tc>
      </w:tr>
      <w:tr>
        <w:tblPrEx>
          <w:tblLayout w:type="fixed"/>
          <w:tblCellMar>
            <w:top w:w="0" w:type="dxa"/>
            <w:left w:w="0" w:type="dxa"/>
            <w:bottom w:w="0" w:type="dxa"/>
            <w:right w:w="0" w:type="dxa"/>
          </w:tblCellMar>
        </w:tblPrEx>
        <w:trPr>
          <w:trHeight w:val="496" w:hRule="atLeast"/>
          <w:jc w:val="center"/>
        </w:trPr>
        <w:tc>
          <w:tcPr>
            <w:tcW w:w="10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1"/>
                <w:szCs w:val="21"/>
                <w:u w:val="none"/>
              </w:rPr>
            </w:pPr>
          </w:p>
        </w:tc>
        <w:tc>
          <w:tcPr>
            <w:tcW w:w="1939"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年度最低</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检查频次</w:t>
            </w:r>
          </w:p>
        </w:tc>
        <w:tc>
          <w:tcPr>
            <w:tcW w:w="5740" w:type="dxa"/>
            <w:gridSpan w:val="9"/>
            <w:tcBorders>
              <w:top w:val="single" w:color="000000" w:sz="4" w:space="0"/>
              <w:left w:val="single" w:color="000000" w:sz="4" w:space="0"/>
              <w:bottom w:val="single" w:color="000000" w:sz="4" w:space="0"/>
              <w:right w:val="single" w:color="000000" w:sz="4" w:space="0"/>
            </w:tcBorders>
            <w:shd w:val="clear" w:color="auto" w:fill="auto"/>
            <w:tcMar>
              <w:top w:w="11" w:type="dxa"/>
              <w:left w:w="57"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□1次      □2次       □3次       □4次</w:t>
            </w:r>
          </w:p>
        </w:tc>
      </w:tr>
      <w:tr>
        <w:tblPrEx>
          <w:tblLayout w:type="fixed"/>
          <w:tblCellMar>
            <w:top w:w="0" w:type="dxa"/>
            <w:left w:w="0" w:type="dxa"/>
            <w:bottom w:w="0" w:type="dxa"/>
            <w:right w:w="0" w:type="dxa"/>
          </w:tblCellMar>
        </w:tblPrEx>
        <w:trPr>
          <w:trHeight w:val="3214" w:hRule="atLeast"/>
          <w:jc w:val="center"/>
        </w:trPr>
        <w:tc>
          <w:tcPr>
            <w:tcW w:w="1061" w:type="dxa"/>
            <w:vMerge w:val="restart"/>
            <w:tcBorders>
              <w:top w:val="nil"/>
              <w:left w:val="single" w:color="000000" w:sz="4" w:space="0"/>
              <w:right w:val="single" w:color="000000" w:sz="4" w:space="0"/>
            </w:tcBorders>
            <w:shd w:val="clear" w:color="auto" w:fill="auto"/>
            <w:tcMar>
              <w:top w:w="11" w:type="dxa"/>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是否存在需调高下一年度风险等级情形</w:t>
            </w:r>
          </w:p>
        </w:tc>
        <w:tc>
          <w:tcPr>
            <w:tcW w:w="7679" w:type="dxa"/>
            <w:gridSpan w:val="11"/>
            <w:tcBorders>
              <w:top w:val="nil"/>
              <w:left w:val="single" w:color="000000" w:sz="4" w:space="0"/>
              <w:bottom w:val="single" w:color="000000" w:sz="4" w:space="0"/>
              <w:right w:val="single" w:color="000000" w:sz="4" w:space="0"/>
            </w:tcBorders>
            <w:shd w:val="clear" w:color="auto" w:fill="auto"/>
            <w:tcMar>
              <w:top w:w="11" w:type="dxa"/>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是否存在下列情形：</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□故意违反食品安全法律法规，且受到罚款、没收违法所得（非法财物）、责令停产停业等行政处罚的；</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□有1次及以上国家或者省级监督抽检不符合食品安全标准的；</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□违反食品安全法律法规规定，造成不良社会影响的；</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□发生食品安全事故的；</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□不按规定进行产品召回或者停止生产经营的；</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□拒绝、逃避、阻挠执法人员监督检查，或者拒不配合执法人员依法进行案件调查的；</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□具有法律法规、规章和省级市场监督管理部门规定的其他可以上调风险等级情形的。（可在备注中说明具体情形）</w:t>
            </w:r>
            <w:r>
              <w:rPr>
                <w:rFonts w:hint="eastAsia" w:ascii="宋体" w:hAnsi="宋体" w:eastAsia="宋体" w:cs="宋体"/>
                <w:i w:val="0"/>
                <w:color w:val="000000"/>
                <w:kern w:val="0"/>
                <w:sz w:val="21"/>
                <w:szCs w:val="21"/>
                <w:u w:val="none"/>
                <w:lang w:val="en-US" w:eastAsia="zh-CN" w:bidi="ar"/>
              </w:rPr>
              <w:br w:type="textWrapping"/>
            </w:r>
            <w:r>
              <w:rPr>
                <w:rFonts w:hint="eastAsia" w:ascii="黑体" w:hAnsi="黑体" w:eastAsia="黑体" w:cs="黑体"/>
                <w:i w:val="0"/>
                <w:color w:val="000000"/>
                <w:kern w:val="0"/>
                <w:sz w:val="21"/>
                <w:szCs w:val="21"/>
                <w:u w:val="none"/>
                <w:lang w:val="en-US" w:eastAsia="zh-CN" w:bidi="ar"/>
              </w:rPr>
              <w:t>建议</w:t>
            </w:r>
            <w:r>
              <w:rPr>
                <w:rFonts w:hint="eastAsia" w:ascii="宋体" w:hAnsi="宋体" w:eastAsia="宋体" w:cs="宋体"/>
                <w:i w:val="0"/>
                <w:color w:val="000000"/>
                <w:kern w:val="0"/>
                <w:sz w:val="21"/>
                <w:szCs w:val="21"/>
                <w:u w:val="none"/>
                <w:lang w:val="en-US" w:eastAsia="zh-CN" w:bidi="ar"/>
              </w:rPr>
              <w:t xml:space="preserve">   □上调两个风险等级   □上调一个风险等级    □不调整风险等级</w:t>
            </w:r>
          </w:p>
        </w:tc>
      </w:tr>
      <w:tr>
        <w:tblPrEx>
          <w:shd w:val="clear" w:color="auto" w:fill="auto"/>
          <w:tblLayout w:type="fixed"/>
          <w:tblCellMar>
            <w:top w:w="0" w:type="dxa"/>
            <w:left w:w="0" w:type="dxa"/>
            <w:bottom w:w="0" w:type="dxa"/>
            <w:right w:w="0" w:type="dxa"/>
          </w:tblCellMar>
        </w:tblPrEx>
        <w:trPr>
          <w:trHeight w:val="400" w:hRule="atLeast"/>
          <w:jc w:val="center"/>
        </w:trPr>
        <w:tc>
          <w:tcPr>
            <w:tcW w:w="1061" w:type="dxa"/>
            <w:vMerge w:val="continue"/>
            <w:tcBorders>
              <w:left w:val="single" w:color="000000" w:sz="4" w:space="0"/>
              <w:bottom w:val="single" w:color="000000" w:sz="4" w:space="0"/>
              <w:right w:val="single" w:color="000000" w:sz="4" w:space="0"/>
            </w:tcBorders>
            <w:shd w:val="clear" w:color="auto" w:fill="auto"/>
            <w:tcMar>
              <w:top w:w="11" w:type="dxa"/>
              <w:left w:w="57" w:type="dxa"/>
              <w:right w:w="57"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宋体" w:hAnsi="宋体" w:eastAsia="宋体" w:cs="宋体"/>
                <w:i w:val="0"/>
                <w:color w:val="000000"/>
                <w:sz w:val="21"/>
                <w:szCs w:val="21"/>
                <w:u w:val="none"/>
              </w:rPr>
            </w:pPr>
          </w:p>
        </w:tc>
        <w:tc>
          <w:tcPr>
            <w:tcW w:w="2055" w:type="dxa"/>
            <w:gridSpan w:val="3"/>
            <w:tcBorders>
              <w:top w:val="single" w:color="000000" w:sz="4" w:space="0"/>
              <w:left w:val="single" w:color="000000" w:sz="4" w:space="0"/>
              <w:bottom w:val="single" w:color="000000" w:sz="4" w:space="0"/>
              <w:right w:val="single" w:color="000000" w:sz="4" w:space="0"/>
            </w:tcBorders>
            <w:shd w:val="clear" w:color="auto" w:fill="auto"/>
            <w:tcMar>
              <w:top w:w="11" w:type="dxa"/>
              <w:left w:w="57" w:type="dxa"/>
              <w:right w:w="57"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下一年度风险等级</w:t>
            </w:r>
          </w:p>
        </w:tc>
        <w:tc>
          <w:tcPr>
            <w:tcW w:w="5624" w:type="dxa"/>
            <w:gridSpan w:val="8"/>
            <w:tcBorders>
              <w:top w:val="single" w:color="000000" w:sz="4" w:space="0"/>
              <w:left w:val="single" w:color="000000" w:sz="4" w:space="0"/>
              <w:bottom w:val="single" w:color="000000" w:sz="4" w:space="0"/>
              <w:right w:val="single" w:color="000000" w:sz="4" w:space="0"/>
            </w:tcBorders>
            <w:shd w:val="clear" w:color="auto" w:fill="auto"/>
            <w:tcMar>
              <w:top w:w="11" w:type="dxa"/>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□A级     □B级     □C级     □D级</w:t>
            </w:r>
          </w:p>
        </w:tc>
      </w:tr>
      <w:tr>
        <w:tblPrEx>
          <w:tblLayout w:type="fixed"/>
          <w:tblCellMar>
            <w:top w:w="0" w:type="dxa"/>
            <w:left w:w="0" w:type="dxa"/>
            <w:bottom w:w="0" w:type="dxa"/>
            <w:right w:w="0" w:type="dxa"/>
          </w:tblCellMar>
        </w:tblPrEx>
        <w:trPr>
          <w:trHeight w:val="608" w:hRule="atLeast"/>
          <w:jc w:val="center"/>
        </w:trPr>
        <w:tc>
          <w:tcPr>
            <w:tcW w:w="1061" w:type="dxa"/>
            <w:tcBorders>
              <w:top w:val="single" w:color="000000" w:sz="4" w:space="0"/>
              <w:left w:val="single" w:color="000000" w:sz="4" w:space="0"/>
              <w:bottom w:val="single" w:color="000000" w:sz="4" w:space="0"/>
              <w:right w:val="single" w:color="000000" w:sz="4" w:space="0"/>
            </w:tcBorders>
            <w:shd w:val="clear" w:color="auto" w:fill="auto"/>
            <w:tcMar>
              <w:top w:w="11" w:type="dxa"/>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备  注</w:t>
            </w:r>
          </w:p>
        </w:tc>
        <w:tc>
          <w:tcPr>
            <w:tcW w:w="7679" w:type="dxa"/>
            <w:gridSpan w:val="11"/>
            <w:tcBorders>
              <w:top w:val="single" w:color="000000" w:sz="4" w:space="0"/>
              <w:left w:val="single" w:color="000000" w:sz="4" w:space="0"/>
              <w:bottom w:val="single" w:color="000000" w:sz="4" w:space="0"/>
              <w:right w:val="single" w:color="000000" w:sz="4" w:space="0"/>
            </w:tcBorders>
            <w:shd w:val="clear" w:color="auto" w:fill="auto"/>
            <w:tcMar>
              <w:top w:w="11" w:type="dxa"/>
              <w:left w:w="57" w:type="dxa"/>
              <w:right w:w="57"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1"/>
                <w:szCs w:val="21"/>
                <w:u w:val="none"/>
              </w:rPr>
            </w:pPr>
          </w:p>
        </w:tc>
      </w:tr>
      <w:tr>
        <w:tblPrEx>
          <w:tblLayout w:type="fixed"/>
          <w:tblCellMar>
            <w:top w:w="0" w:type="dxa"/>
            <w:left w:w="0" w:type="dxa"/>
            <w:bottom w:w="0" w:type="dxa"/>
            <w:right w:w="0" w:type="dxa"/>
          </w:tblCellMar>
        </w:tblPrEx>
        <w:trPr>
          <w:trHeight w:val="1208" w:hRule="atLeast"/>
          <w:jc w:val="center"/>
        </w:trPr>
        <w:tc>
          <w:tcPr>
            <w:tcW w:w="5350" w:type="dxa"/>
            <w:gridSpan w:val="7"/>
            <w:tcBorders>
              <w:top w:val="single" w:color="000000" w:sz="4" w:space="0"/>
              <w:left w:val="single" w:color="000000" w:sz="4" w:space="0"/>
              <w:bottom w:val="single" w:color="000000" w:sz="4" w:space="0"/>
              <w:right w:val="single" w:color="000000" w:sz="4" w:space="0"/>
            </w:tcBorders>
            <w:shd w:val="clear" w:color="auto" w:fill="auto"/>
            <w:tcMar>
              <w:top w:w="11" w:type="dxa"/>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被检查单位意见：</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负责人（签字）：</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                             20   年   月   日</w:t>
            </w:r>
          </w:p>
        </w:tc>
        <w:tc>
          <w:tcPr>
            <w:tcW w:w="3390" w:type="dxa"/>
            <w:gridSpan w:val="5"/>
            <w:tcBorders>
              <w:top w:val="single" w:color="000000" w:sz="4" w:space="0"/>
              <w:left w:val="single" w:color="000000" w:sz="4" w:space="0"/>
              <w:bottom w:val="single" w:color="000000" w:sz="4" w:space="0"/>
              <w:right w:val="single" w:color="000000" w:sz="4" w:space="0"/>
            </w:tcBorders>
            <w:shd w:val="clear" w:color="auto" w:fill="auto"/>
            <w:tcMar>
              <w:top w:w="11" w:type="dxa"/>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执法人员（签字）：</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             20</w:t>
            </w:r>
            <w:bookmarkStart w:id="0" w:name="_GoBack"/>
            <w:bookmarkEnd w:id="0"/>
            <w:r>
              <w:rPr>
                <w:rFonts w:hint="eastAsia" w:ascii="宋体" w:hAnsi="宋体" w:eastAsia="宋体" w:cs="宋体"/>
                <w:i w:val="0"/>
                <w:color w:val="000000"/>
                <w:kern w:val="0"/>
                <w:sz w:val="21"/>
                <w:szCs w:val="21"/>
                <w:u w:val="none"/>
                <w:lang w:val="en-US" w:eastAsia="zh-CN" w:bidi="ar"/>
              </w:rPr>
              <w:t xml:space="preserve">   年   月   日</w:t>
            </w:r>
          </w:p>
        </w:tc>
      </w:tr>
    </w:tbl>
    <w:p>
      <w:pPr>
        <w:keepNext w:val="0"/>
        <w:keepLines w:val="0"/>
        <w:pageBreakBefore w:val="0"/>
        <w:widowControl w:val="0"/>
        <w:kinsoku/>
        <w:wordWrap/>
        <w:overflowPunct/>
        <w:topLinePunct w:val="0"/>
        <w:autoSpaceDE/>
        <w:autoSpaceDN/>
        <w:bidi w:val="0"/>
        <w:adjustRightInd/>
        <w:snapToGrid/>
        <w:spacing w:line="300" w:lineRule="exact"/>
        <w:textAlignment w:val="auto"/>
        <w:outlineLvl w:val="9"/>
        <w:rPr>
          <w:rFonts w:hint="eastAsia" w:ascii="仿宋" w:hAnsi="仿宋" w:eastAsia="仿宋" w:cs="仿宋"/>
          <w:i w:val="0"/>
          <w:color w:val="000000"/>
          <w:kern w:val="0"/>
          <w:sz w:val="21"/>
          <w:szCs w:val="21"/>
          <w:u w:val="none"/>
          <w:lang w:val="en-US" w:eastAsia="zh-CN" w:bidi="ar"/>
        </w:rPr>
      </w:pPr>
      <w:r>
        <w:rPr>
          <w:rFonts w:hint="eastAsia" w:ascii="仿宋" w:hAnsi="仿宋" w:cs="仿宋"/>
          <w:i w:val="0"/>
          <w:color w:val="000000"/>
          <w:kern w:val="0"/>
          <w:sz w:val="21"/>
          <w:szCs w:val="21"/>
          <w:u w:val="none"/>
          <w:lang w:val="en-US" w:eastAsia="zh-CN" w:bidi="ar"/>
        </w:rPr>
        <w:t xml:space="preserve">     </w:t>
      </w:r>
      <w:r>
        <w:rPr>
          <w:rFonts w:hint="eastAsia" w:ascii="黑体" w:hAnsi="黑体" w:eastAsia="黑体" w:cs="黑体"/>
          <w:i w:val="0"/>
          <w:color w:val="000000"/>
          <w:kern w:val="0"/>
          <w:sz w:val="21"/>
          <w:szCs w:val="21"/>
          <w:u w:val="none"/>
          <w:lang w:val="en-US" w:eastAsia="zh-CN" w:bidi="ar"/>
        </w:rPr>
        <w:t>注：</w:t>
      </w:r>
      <w:r>
        <w:rPr>
          <w:rFonts w:hint="eastAsia" w:ascii="仿宋" w:hAnsi="仿宋" w:cs="仿宋"/>
          <w:i w:val="0"/>
          <w:color w:val="000000"/>
          <w:kern w:val="0"/>
          <w:sz w:val="21"/>
          <w:szCs w:val="21"/>
          <w:u w:val="none"/>
          <w:lang w:val="en-US" w:eastAsia="zh-CN" w:bidi="ar"/>
        </w:rPr>
        <w:t>本表一式三份，一份用于经营场所公示，一份被检查单位留存，一份监管部门留存。</w:t>
      </w:r>
    </w:p>
    <w:sectPr>
      <w:footerReference r:id="rId3" w:type="default"/>
      <w:pgSz w:w="11906" w:h="16838"/>
      <w:pgMar w:top="1701" w:right="1417" w:bottom="1701" w:left="1417" w:header="851" w:footer="992" w:gutter="0"/>
      <w:pgBorders>
        <w:top w:val="none" w:sz="0" w:space="0"/>
        <w:left w:val="none" w:sz="0" w:space="0"/>
        <w:bottom w:val="none" w:sz="0" w:space="0"/>
        <w:right w:val="none" w:sz="0" w:space="0"/>
      </w:pgBorders>
      <w:pgNumType w:fmt="numberInDash"/>
      <w:cols w:space="0" w:num="1"/>
      <w:rtlGutter w:val="0"/>
      <w:docGrid w:type="linesAndChars" w:linePitch="595" w:charSpace="81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Arial Unicode MS">
    <w:altName w:val="宋体"/>
    <w:panose1 w:val="00000000000000000000"/>
    <w:charset w:val="86"/>
    <w:family w:val="swiss"/>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-184150</wp:posOffset>
              </wp:positionV>
              <wp:extent cx="537210" cy="3302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37210" cy="3302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14.5pt;height:26pt;width:42.3pt;mso-position-horizontal:outside;mso-position-horizontal-relative:margin;z-index:251658240;mso-width-relative:page;mso-height-relative:page;" filled="f" stroked="f" coordsize="21600,21600" o:gfxdata="UEsDBAoAAAAAAIdO4kAAAAAAAAAAAAAAAAAEAAAAZHJzL1BLAwQUAAAACACHTuJAL5auXtUAAAAG&#10;AQAADwAAAGRycy9kb3ducmV2LnhtbE2PS0/DMBCE70j8B2uRuLV2AqpKyKYHHjeehUrl5iRLEuFH&#10;ZDtp+fcsJ7jtaEYz35abozViphAH7xCypQJBrvHt4DqE97f7xRpETNq12nhHCN8UYVOdnpS6aP3B&#10;vdK8TZ3gEhcLjdCnNBZSxqYnq+PSj+TY+/TB6sQydLIN+sDl1shcqZW0enC80OuRbnpqvraTRTD7&#10;GB5qlT7m2+4xvTzLaXeXPSGen2XqGkSiY/oLwy8+o0PFTLWfXBuFQeBHEsIiv+KD7fXlCkSNkF8o&#10;kFUp/+NXP1BLAwQUAAAACACHTuJAiX8/3BkCAAATBAAADgAAAGRycy9lMm9Eb2MueG1srVPNjtMw&#10;EL4j8Q6W7zRpq11Q1HRVdlWEVLErFcTZdewmku0xttukPAC8AScue+e5+hyMnaSLgBPi4nyZGc/P&#10;N58XN51W5Cicb8CUdDrJKRGGQ9WYfUk/vF+/eEWJD8xUTIERJT0JT2+Wz58tWluIGdSgKuEIJjG+&#10;aG1J6xBskWWe10IzPwErDDolOM0C/rp9VjnWYnatslmeX2ctuMo64MJ7tN71TrpM+aUUPNxL6UUg&#10;qqTYW0inS+cuntlywYq9Y7Zu+NAG+4cuNGsMFr2kumOBkYNr/kilG+7AgwwTDjoDKRsu0gw4zTT/&#10;bZptzaxIsyA53l5o8v8vLX93fHCkqXB3lBimcUXnb1/P33+cH7+QaaSntb7AqK3FuNC9hi6GDnaP&#10;xjh1J52OX5yHoB+JPl3IFV0gHI1X85ezKXo4uubzHJcXs2RPl63z4Y0ATSIoqcPdJUrZceNDHzqG&#10;xFoG1o1SaGeFMqQt6fX8Kk8XLh5MrgzWiCP0rUYUul039L+D6oRjOeh14S1fN1h8w3x4YA6FgP2i&#10;uMM9HlIBFoEBUVKD+/w3e4zH/aCXkhaFVVL/6cCcoES9Nbi5qMIRuBHsRmAO+hZQq7gN7CZBvOCC&#10;GqF0oD+i5lexCrqY4VirpGGEt6GXN74ZLlarFHSwrtnX/QXUnWVhY7aWxzI9latDANkkliNFPS8D&#10;c6i8tKfhlURp//qfop7e8vI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L5auXtUAAAAGAQAADwAA&#10;AAAAAAABACAAAAAiAAAAZHJzL2Rvd25yZXYueG1sUEsBAhQAFAAAAAgAh07iQIl/P9wZAgAAEwQA&#10;AA4AAAAAAAAAAQAgAAAAJAEAAGRycy9lMm9Eb2MueG1sUEsFBgAAAAAGAAYAWQEAAK8FAAAAAA==&#10;">
              <v:fill on="f" focussize="0,0"/>
              <v:stroke on="f" weight="0.5pt"/>
              <v:imagedata o:title=""/>
              <o:lock v:ext="edit" aspectratio="f"/>
              <v:textbox inset="0mm,0mm,0mm,0mm">
                <w:txbxContent>
                  <w:p>
                    <w:pPr>
                      <w:pStyle w:val="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HorizontalSpacing w:val="162"/>
  <w:drawingGridVerticalSpacing w:val="29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F1437F"/>
    <w:rsid w:val="017945A6"/>
    <w:rsid w:val="01C25A2E"/>
    <w:rsid w:val="0237052D"/>
    <w:rsid w:val="02EC321F"/>
    <w:rsid w:val="02FD16D3"/>
    <w:rsid w:val="03177CE3"/>
    <w:rsid w:val="03531677"/>
    <w:rsid w:val="03D97D25"/>
    <w:rsid w:val="04047DAF"/>
    <w:rsid w:val="04172D69"/>
    <w:rsid w:val="04FC4B69"/>
    <w:rsid w:val="050E4357"/>
    <w:rsid w:val="062D50B7"/>
    <w:rsid w:val="066E1E4B"/>
    <w:rsid w:val="06E054A3"/>
    <w:rsid w:val="071916E2"/>
    <w:rsid w:val="071A0AC5"/>
    <w:rsid w:val="07322030"/>
    <w:rsid w:val="080C2E0B"/>
    <w:rsid w:val="08E2761E"/>
    <w:rsid w:val="08FC1328"/>
    <w:rsid w:val="0910654D"/>
    <w:rsid w:val="0A2A3CA6"/>
    <w:rsid w:val="0A7A6C61"/>
    <w:rsid w:val="0BA977FA"/>
    <w:rsid w:val="0C57596B"/>
    <w:rsid w:val="0CD1331C"/>
    <w:rsid w:val="0CE1514C"/>
    <w:rsid w:val="0D034463"/>
    <w:rsid w:val="0D2E19C9"/>
    <w:rsid w:val="0D965C80"/>
    <w:rsid w:val="0DCF5414"/>
    <w:rsid w:val="0DE77A2D"/>
    <w:rsid w:val="0DE82CEE"/>
    <w:rsid w:val="0EC325FD"/>
    <w:rsid w:val="0EC41321"/>
    <w:rsid w:val="0EE93D33"/>
    <w:rsid w:val="10BB2678"/>
    <w:rsid w:val="10C14080"/>
    <w:rsid w:val="10F90022"/>
    <w:rsid w:val="115B5530"/>
    <w:rsid w:val="11816480"/>
    <w:rsid w:val="11F24C80"/>
    <w:rsid w:val="12226421"/>
    <w:rsid w:val="12323ADC"/>
    <w:rsid w:val="123D0F67"/>
    <w:rsid w:val="12454BEF"/>
    <w:rsid w:val="12840E57"/>
    <w:rsid w:val="13581F4A"/>
    <w:rsid w:val="13756457"/>
    <w:rsid w:val="14555E98"/>
    <w:rsid w:val="14F6740E"/>
    <w:rsid w:val="156D5343"/>
    <w:rsid w:val="157B628E"/>
    <w:rsid w:val="164701FF"/>
    <w:rsid w:val="1652230F"/>
    <w:rsid w:val="165A31E8"/>
    <w:rsid w:val="16D17398"/>
    <w:rsid w:val="176E2350"/>
    <w:rsid w:val="177E5229"/>
    <w:rsid w:val="18D401C7"/>
    <w:rsid w:val="19B30C0F"/>
    <w:rsid w:val="19BB3F38"/>
    <w:rsid w:val="19E55552"/>
    <w:rsid w:val="1A075044"/>
    <w:rsid w:val="1AFE74D1"/>
    <w:rsid w:val="1B4A05C2"/>
    <w:rsid w:val="1BE13BF4"/>
    <w:rsid w:val="1CED2842"/>
    <w:rsid w:val="1D585D86"/>
    <w:rsid w:val="1DF408FE"/>
    <w:rsid w:val="1E6408D6"/>
    <w:rsid w:val="1E8528E8"/>
    <w:rsid w:val="1EAF0737"/>
    <w:rsid w:val="1EB42336"/>
    <w:rsid w:val="1F4B44F0"/>
    <w:rsid w:val="1F5F7B4D"/>
    <w:rsid w:val="1F7446A3"/>
    <w:rsid w:val="1F9300E9"/>
    <w:rsid w:val="21325F04"/>
    <w:rsid w:val="22633CF0"/>
    <w:rsid w:val="22697E87"/>
    <w:rsid w:val="235D39B7"/>
    <w:rsid w:val="242347C8"/>
    <w:rsid w:val="248357EE"/>
    <w:rsid w:val="24B61245"/>
    <w:rsid w:val="253347FE"/>
    <w:rsid w:val="25666BE7"/>
    <w:rsid w:val="258D3013"/>
    <w:rsid w:val="259A15BE"/>
    <w:rsid w:val="25BA347D"/>
    <w:rsid w:val="262118CF"/>
    <w:rsid w:val="26AD2846"/>
    <w:rsid w:val="26F81B6F"/>
    <w:rsid w:val="27676BE9"/>
    <w:rsid w:val="27990E26"/>
    <w:rsid w:val="28670421"/>
    <w:rsid w:val="287E20FA"/>
    <w:rsid w:val="28931A40"/>
    <w:rsid w:val="28A22404"/>
    <w:rsid w:val="28AB3B1D"/>
    <w:rsid w:val="28C03DFB"/>
    <w:rsid w:val="29BF1519"/>
    <w:rsid w:val="2A5237A5"/>
    <w:rsid w:val="2A6D71E7"/>
    <w:rsid w:val="2B401F45"/>
    <w:rsid w:val="2BA76AF4"/>
    <w:rsid w:val="2C6012C7"/>
    <w:rsid w:val="2C883738"/>
    <w:rsid w:val="2CDA61EB"/>
    <w:rsid w:val="2CE17F46"/>
    <w:rsid w:val="2D085762"/>
    <w:rsid w:val="2D566B5D"/>
    <w:rsid w:val="2D621FE4"/>
    <w:rsid w:val="2DB17A93"/>
    <w:rsid w:val="2DF83CDE"/>
    <w:rsid w:val="2E4A276A"/>
    <w:rsid w:val="2E775D08"/>
    <w:rsid w:val="2EB65C92"/>
    <w:rsid w:val="2FA50F00"/>
    <w:rsid w:val="30083703"/>
    <w:rsid w:val="30B065F1"/>
    <w:rsid w:val="30D33672"/>
    <w:rsid w:val="31B465BF"/>
    <w:rsid w:val="324F12EA"/>
    <w:rsid w:val="32C52BDB"/>
    <w:rsid w:val="32DF3872"/>
    <w:rsid w:val="33CA31AC"/>
    <w:rsid w:val="3478194A"/>
    <w:rsid w:val="34AA0B8E"/>
    <w:rsid w:val="366F29AE"/>
    <w:rsid w:val="372E7509"/>
    <w:rsid w:val="37450E29"/>
    <w:rsid w:val="374F3C10"/>
    <w:rsid w:val="382878D1"/>
    <w:rsid w:val="390D0B77"/>
    <w:rsid w:val="392D74C1"/>
    <w:rsid w:val="39526931"/>
    <w:rsid w:val="39B86936"/>
    <w:rsid w:val="39D43E47"/>
    <w:rsid w:val="3A1D51ED"/>
    <w:rsid w:val="3A6F3B82"/>
    <w:rsid w:val="3BC06716"/>
    <w:rsid w:val="3C101E1D"/>
    <w:rsid w:val="3CBE0B03"/>
    <w:rsid w:val="3CFB4694"/>
    <w:rsid w:val="3D2A6D47"/>
    <w:rsid w:val="3DD23A5E"/>
    <w:rsid w:val="3E4400F5"/>
    <w:rsid w:val="3E6247E6"/>
    <w:rsid w:val="3EAF3189"/>
    <w:rsid w:val="40594244"/>
    <w:rsid w:val="405974ED"/>
    <w:rsid w:val="40894863"/>
    <w:rsid w:val="410152A3"/>
    <w:rsid w:val="411042E9"/>
    <w:rsid w:val="411A4074"/>
    <w:rsid w:val="415A70D4"/>
    <w:rsid w:val="41AD0908"/>
    <w:rsid w:val="41C103EB"/>
    <w:rsid w:val="42417EEF"/>
    <w:rsid w:val="42A95D5E"/>
    <w:rsid w:val="444D7E57"/>
    <w:rsid w:val="45B42446"/>
    <w:rsid w:val="46872267"/>
    <w:rsid w:val="46955A98"/>
    <w:rsid w:val="46E21E68"/>
    <w:rsid w:val="48805048"/>
    <w:rsid w:val="48902589"/>
    <w:rsid w:val="48C47C5D"/>
    <w:rsid w:val="48D9783D"/>
    <w:rsid w:val="4A0F796B"/>
    <w:rsid w:val="4B1D54F2"/>
    <w:rsid w:val="4BCF4AE4"/>
    <w:rsid w:val="4C8B5764"/>
    <w:rsid w:val="4CBE1385"/>
    <w:rsid w:val="4D6455A7"/>
    <w:rsid w:val="4D7759F0"/>
    <w:rsid w:val="4DAE370E"/>
    <w:rsid w:val="4DE06BE0"/>
    <w:rsid w:val="4F07533B"/>
    <w:rsid w:val="4F761901"/>
    <w:rsid w:val="4FF3541A"/>
    <w:rsid w:val="5018490A"/>
    <w:rsid w:val="50353A8D"/>
    <w:rsid w:val="51E5686D"/>
    <w:rsid w:val="52016537"/>
    <w:rsid w:val="52095B99"/>
    <w:rsid w:val="521436B5"/>
    <w:rsid w:val="52662F59"/>
    <w:rsid w:val="527C1105"/>
    <w:rsid w:val="5285371A"/>
    <w:rsid w:val="5344243A"/>
    <w:rsid w:val="53626134"/>
    <w:rsid w:val="53FB0887"/>
    <w:rsid w:val="540F1D8B"/>
    <w:rsid w:val="54526913"/>
    <w:rsid w:val="55217F60"/>
    <w:rsid w:val="55F022D0"/>
    <w:rsid w:val="5604132B"/>
    <w:rsid w:val="565415A6"/>
    <w:rsid w:val="56616BA6"/>
    <w:rsid w:val="569B3B8C"/>
    <w:rsid w:val="569E42B1"/>
    <w:rsid w:val="57046416"/>
    <w:rsid w:val="575E44C6"/>
    <w:rsid w:val="5770569F"/>
    <w:rsid w:val="57E12809"/>
    <w:rsid w:val="58DD3D82"/>
    <w:rsid w:val="58F218A3"/>
    <w:rsid w:val="594B71D4"/>
    <w:rsid w:val="595A06D5"/>
    <w:rsid w:val="59901D1C"/>
    <w:rsid w:val="5B741FEE"/>
    <w:rsid w:val="5B8C1C22"/>
    <w:rsid w:val="5BAD33CF"/>
    <w:rsid w:val="5BF57994"/>
    <w:rsid w:val="5BFB4FA0"/>
    <w:rsid w:val="5C385758"/>
    <w:rsid w:val="5C6203CD"/>
    <w:rsid w:val="5E25735B"/>
    <w:rsid w:val="5EB15DE8"/>
    <w:rsid w:val="5F421365"/>
    <w:rsid w:val="5FB45C47"/>
    <w:rsid w:val="602B256C"/>
    <w:rsid w:val="60682E51"/>
    <w:rsid w:val="62503617"/>
    <w:rsid w:val="62971CE4"/>
    <w:rsid w:val="62B66F71"/>
    <w:rsid w:val="62BD22C2"/>
    <w:rsid w:val="63333AF2"/>
    <w:rsid w:val="638967D2"/>
    <w:rsid w:val="638F362C"/>
    <w:rsid w:val="63C8499E"/>
    <w:rsid w:val="64492A1D"/>
    <w:rsid w:val="649F23CB"/>
    <w:rsid w:val="64B7318C"/>
    <w:rsid w:val="65237A81"/>
    <w:rsid w:val="6541130E"/>
    <w:rsid w:val="671359F7"/>
    <w:rsid w:val="67463C63"/>
    <w:rsid w:val="67A04E10"/>
    <w:rsid w:val="67BB18FC"/>
    <w:rsid w:val="67F30FF7"/>
    <w:rsid w:val="687D51B6"/>
    <w:rsid w:val="68B66316"/>
    <w:rsid w:val="69B65E1C"/>
    <w:rsid w:val="6A445A76"/>
    <w:rsid w:val="6A481A71"/>
    <w:rsid w:val="6A84753A"/>
    <w:rsid w:val="6ADC1A57"/>
    <w:rsid w:val="6B80414A"/>
    <w:rsid w:val="6B9E3BE2"/>
    <w:rsid w:val="6BF929C0"/>
    <w:rsid w:val="6D1C145E"/>
    <w:rsid w:val="6DDA0661"/>
    <w:rsid w:val="6DE667B7"/>
    <w:rsid w:val="6E1E7CEC"/>
    <w:rsid w:val="6F6A425B"/>
    <w:rsid w:val="6FF57343"/>
    <w:rsid w:val="70CE77BA"/>
    <w:rsid w:val="71040D36"/>
    <w:rsid w:val="712D2431"/>
    <w:rsid w:val="71B2383D"/>
    <w:rsid w:val="72CE7AF4"/>
    <w:rsid w:val="73023C26"/>
    <w:rsid w:val="735A67AD"/>
    <w:rsid w:val="738C5D45"/>
    <w:rsid w:val="73E42746"/>
    <w:rsid w:val="74076EF7"/>
    <w:rsid w:val="747D136C"/>
    <w:rsid w:val="74AD7F65"/>
    <w:rsid w:val="74B76166"/>
    <w:rsid w:val="74BB63D1"/>
    <w:rsid w:val="76754CE2"/>
    <w:rsid w:val="773732D7"/>
    <w:rsid w:val="77486716"/>
    <w:rsid w:val="7807629E"/>
    <w:rsid w:val="783E0685"/>
    <w:rsid w:val="786B76CD"/>
    <w:rsid w:val="79041626"/>
    <w:rsid w:val="79046F35"/>
    <w:rsid w:val="794D544B"/>
    <w:rsid w:val="79621B1A"/>
    <w:rsid w:val="7A2149C9"/>
    <w:rsid w:val="7A927879"/>
    <w:rsid w:val="7A9B696C"/>
    <w:rsid w:val="7AD7775F"/>
    <w:rsid w:val="7AF34DA1"/>
    <w:rsid w:val="7B2D1068"/>
    <w:rsid w:val="7BA211A3"/>
    <w:rsid w:val="7C2A5929"/>
    <w:rsid w:val="7C711887"/>
    <w:rsid w:val="7C990A1D"/>
    <w:rsid w:val="7C9F20CA"/>
    <w:rsid w:val="7D854AB6"/>
    <w:rsid w:val="7DC6034A"/>
    <w:rsid w:val="7E371926"/>
    <w:rsid w:val="7E3E09E2"/>
    <w:rsid w:val="7E9A48CA"/>
    <w:rsid w:val="7EA95466"/>
    <w:rsid w:val="7EEB4FC1"/>
    <w:rsid w:val="7FAF01A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 w:asciiTheme="minorHAnsi" w:hAnsiTheme="minorHAnsi" w:cstheme="minorBidi"/>
      <w:kern w:val="2"/>
      <w:sz w:val="32"/>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7">
    <w:name w:val="Table Paragraph"/>
    <w:basedOn w:val="1"/>
    <w:qFormat/>
    <w:uiPriority w:val="1"/>
    <w:rPr>
      <w:rFonts w:ascii="Arial Unicode MS" w:hAnsi="Arial Unicode MS" w:eastAsia="Arial Unicode MS" w:cs="Arial Unicode MS"/>
      <w:lang w:val="zh-CN" w:eastAsia="zh-CN" w:bidi="zh-CN"/>
    </w:rPr>
  </w:style>
  <w:style w:type="character" w:customStyle="1" w:styleId="8">
    <w:name w:val="font21"/>
    <w:basedOn w:val="4"/>
    <w:qFormat/>
    <w:uiPriority w:val="0"/>
    <w:rPr>
      <w:rFonts w:hint="eastAsia" w:ascii="宋体" w:hAnsi="宋体" w:eastAsia="宋体" w:cs="宋体"/>
      <w:color w:val="000000"/>
      <w:sz w:val="28"/>
      <w:szCs w:val="28"/>
      <w:u w:val="none"/>
    </w:rPr>
  </w:style>
  <w:style w:type="character" w:customStyle="1" w:styleId="9">
    <w:name w:val="font01"/>
    <w:basedOn w:val="4"/>
    <w:qFormat/>
    <w:uiPriority w:val="0"/>
    <w:rPr>
      <w:rFonts w:hint="eastAsia" w:ascii="宋体" w:hAnsi="宋体" w:eastAsia="宋体" w:cs="宋体"/>
      <w:color w:val="000000"/>
      <w:sz w:val="32"/>
      <w:szCs w:val="32"/>
      <w:u w:val="none"/>
    </w:rPr>
  </w:style>
  <w:style w:type="character" w:customStyle="1" w:styleId="10">
    <w:name w:val="font41"/>
    <w:basedOn w:val="4"/>
    <w:qFormat/>
    <w:uiPriority w:val="0"/>
    <w:rPr>
      <w:rFonts w:hint="eastAsia" w:ascii="宋体" w:hAnsi="宋体" w:eastAsia="宋体" w:cs="宋体"/>
      <w:color w:val="000000"/>
      <w:sz w:val="22"/>
      <w:szCs w:val="22"/>
      <w:u w:val="none"/>
    </w:rPr>
  </w:style>
  <w:style w:type="character" w:customStyle="1" w:styleId="11">
    <w:name w:val="font11"/>
    <w:basedOn w:val="4"/>
    <w:qFormat/>
    <w:uiPriority w:val="0"/>
    <w:rPr>
      <w:rFonts w:hint="eastAsia" w:ascii="宋体" w:hAnsi="宋体" w:eastAsia="宋体" w:cs="宋体"/>
      <w:color w:val="000000"/>
      <w:sz w:val="24"/>
      <w:szCs w:val="24"/>
      <w:u w:val="none"/>
    </w:rPr>
  </w:style>
  <w:style w:type="character" w:customStyle="1" w:styleId="12">
    <w:name w:val="font31"/>
    <w:basedOn w:val="4"/>
    <w:qFormat/>
    <w:uiPriority w:val="0"/>
    <w:rPr>
      <w:rFonts w:hint="eastAsia" w:ascii="宋体" w:hAnsi="宋体" w:eastAsia="宋体" w:cs="宋体"/>
      <w:color w:val="000000"/>
      <w:sz w:val="21"/>
      <w:szCs w:val="21"/>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2</TotalTime>
  <ScaleCrop>false</ScaleCrop>
  <LinksUpToDate>false</LinksUpToDate>
  <CharactersWithSpaces>0</CharactersWithSpaces>
  <Application>WPS Office_10.8.2.6990_F1E327BC-269C-435d-A152-05C5408002CA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2020-03-21T08:11:00Z</dcterms:created>
  <dc:creator>赵俊锋</dc:creator>
  <cp:lastModifiedBy>赵俊锋</cp:lastModifiedBy>
  <cp:lastPrinted>2020-04-17T02:39:00Z</cp:lastPrinted>
  <dcterms:modified xsi:type="dcterms:W3CDTF">2020-05-11T03:49:15Z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2052-10.8.2.6990</vt:lpwstr>
  </property>
</Properties>
</file>