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2" w:firstLineChars="200"/>
        <w:jc w:val="left"/>
        <w:textAlignment w:val="baseline"/>
        <w:outlineLvl w:val="9"/>
        <w:rPr>
          <w:rFonts w:hint="eastAsia" w:eastAsia="黑体"/>
          <w:spacing w:val="-12"/>
          <w:sz w:val="32"/>
          <w:szCs w:val="32"/>
          <w:lang w:val="en-US" w:eastAsia="zh-CN"/>
        </w:rPr>
      </w:pPr>
      <w:r>
        <w:rPr>
          <w:rFonts w:hint="eastAsia" w:eastAsia="黑体"/>
          <w:spacing w:val="-12"/>
          <w:sz w:val="32"/>
          <w:szCs w:val="32"/>
          <w:lang w:eastAsia="zh-CN"/>
        </w:rPr>
        <w:t>附件</w:t>
      </w:r>
      <w:r>
        <w:rPr>
          <w:rFonts w:hint="eastAsia" w:eastAsia="黑体"/>
          <w:spacing w:val="-12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2" w:firstLineChars="200"/>
        <w:jc w:val="left"/>
        <w:textAlignment w:val="baseline"/>
        <w:outlineLvl w:val="9"/>
        <w:rPr>
          <w:rFonts w:hint="eastAsia" w:eastAsia="黑体"/>
          <w:spacing w:val="-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32" w:firstLineChars="200"/>
        <w:jc w:val="center"/>
        <w:textAlignment w:val="baseline"/>
        <w:outlineLvl w:val="9"/>
        <w:rPr>
          <w:rFonts w:hint="eastAsia" w:eastAsia="黑体"/>
          <w:spacing w:val="-12"/>
          <w:sz w:val="44"/>
          <w:szCs w:val="44"/>
          <w:lang w:val="en-US" w:eastAsia="zh-CN"/>
        </w:rPr>
      </w:pPr>
      <w:r>
        <w:rPr>
          <w:rFonts w:hint="eastAsia" w:eastAsia="黑体"/>
          <w:spacing w:val="-12"/>
          <w:sz w:val="44"/>
          <w:szCs w:val="44"/>
          <w:lang w:val="en-US" w:eastAsia="zh-CN"/>
        </w:rPr>
        <w:t>部分检验项目的说明</w:t>
      </w:r>
    </w:p>
    <w:p>
      <w:pPr>
        <w:spacing w:line="540" w:lineRule="exact"/>
        <w:ind w:firstLine="592" w:firstLineChars="200"/>
        <w:jc w:val="left"/>
        <w:textAlignment w:val="baseline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spacing w:val="-12"/>
          <w:sz w:val="32"/>
          <w:szCs w:val="32"/>
        </w:rPr>
        <w:t>一</w:t>
      </w:r>
      <w:r>
        <w:rPr>
          <w:rFonts w:eastAsia="黑体"/>
          <w:spacing w:val="-12"/>
          <w:sz w:val="32"/>
          <w:szCs w:val="32"/>
        </w:rPr>
        <w:t>、</w:t>
      </w:r>
      <w:r>
        <w:rPr>
          <w:rFonts w:eastAsia="黑体"/>
          <w:kern w:val="0"/>
          <w:sz w:val="32"/>
          <w:szCs w:val="32"/>
        </w:rPr>
        <w:t>大肠菌群</w:t>
      </w:r>
    </w:p>
    <w:p>
      <w:pPr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大肠菌群是国内外通用的食品污染常用指示菌之一。食品中检出大肠菌群，提示被致病菌（如沙门氏菌、志贺氏菌、致病性大肠杆菌）污染的可能性较大。大肠菌群超标可能由于产品的加工原料、包装材料受污染，或在生产过程中产品受人员、工器具等生产设备、环境的污染、有灭菌工艺的产品灭菌不彻底而导致。</w:t>
      </w:r>
    </w:p>
    <w:p>
      <w:pPr>
        <w:pStyle w:val="2"/>
        <w:widowControl w:val="0"/>
        <w:numPr>
          <w:numId w:val="0"/>
        </w:numPr>
        <w:wordWrap/>
        <w:spacing w:line="560" w:lineRule="exact"/>
        <w:ind w:left="640" w:leftChars="0" w:right="0" w:rightChars="0"/>
        <w:jc w:val="both"/>
        <w:textAlignment w:val="auto"/>
        <w:outlineLvl w:val="9"/>
        <w:rPr>
          <w:rFonts w:eastAsia="黑体"/>
          <w:color w:val="000000"/>
          <w:sz w:val="32"/>
          <w:szCs w:val="32"/>
        </w:rPr>
      </w:pPr>
      <w:r>
        <w:rPr>
          <w:rFonts w:hint="eastAsia" w:eastAsia="黑体"/>
          <w:spacing w:val="-12"/>
          <w:sz w:val="32"/>
          <w:szCs w:val="32"/>
          <w:lang w:eastAsia="zh-CN"/>
        </w:rPr>
        <w:t>二</w:t>
      </w:r>
      <w:r>
        <w:rPr>
          <w:rFonts w:eastAsia="黑体"/>
          <w:spacing w:val="-12"/>
          <w:sz w:val="32"/>
          <w:szCs w:val="32"/>
        </w:rPr>
        <w:t>、</w:t>
      </w:r>
      <w:r>
        <w:rPr>
          <w:rFonts w:hint="eastAsia" w:eastAsia="黑体"/>
          <w:color w:val="000000"/>
          <w:sz w:val="32"/>
          <w:szCs w:val="32"/>
        </w:rPr>
        <w:t>吡唑醚菌酯</w:t>
      </w:r>
    </w:p>
    <w:p>
      <w:pPr>
        <w:pStyle w:val="2"/>
        <w:widowControl w:val="0"/>
        <w:wordWrap/>
        <w:spacing w:line="560" w:lineRule="exact"/>
        <w:ind w:right="0" w:firstLine="640" w:firstLineChars="200"/>
        <w:jc w:val="both"/>
        <w:textAlignment w:val="auto"/>
        <w:outlineLvl w:val="9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吡唑醚菌酯为杀菌剂，属于甲氧基胺基甲酸酯类，通过抑制菌株的呼吸作用，进而达到杀菌的效果，可防治香蕉黑星病、叶斑病等。《食品安全国家标准食品中农药最大残留限量》（GB 2763-2016）规定香蕉中吡唑醚菌酯的最大残留限量为0.02 mg/kg。</w:t>
      </w:r>
    </w:p>
    <w:p>
      <w:pPr>
        <w:spacing w:line="64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/>
          <w:sz w:val="32"/>
          <w:szCs w:val="32"/>
        </w:rPr>
        <w:t>、毒死蜱</w:t>
      </w:r>
    </w:p>
    <w:p>
      <w:pPr>
        <w:spacing w:line="6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毒死蜱是一种具有触杀、胃毒和熏蒸作用的有机磷杀虫剂。《食品安全国家标准食品中农药最大残留限量》（</w:t>
      </w:r>
      <w:r>
        <w:rPr>
          <w:rFonts w:eastAsia="仿宋_GB2312"/>
          <w:sz w:val="32"/>
          <w:szCs w:val="32"/>
        </w:rPr>
        <w:t>GB 2763</w:t>
      </w:r>
      <w:r>
        <w:rPr>
          <w:rFonts w:hint="eastAsia" w:eastAsia="仿宋_GB2312"/>
          <w:sz w:val="32"/>
          <w:szCs w:val="32"/>
        </w:rPr>
        <w:t>—</w:t>
      </w:r>
      <w:r>
        <w:rPr>
          <w:rFonts w:eastAsia="仿宋_GB2312"/>
          <w:sz w:val="32"/>
          <w:szCs w:val="32"/>
        </w:rPr>
        <w:t>2016</w:t>
      </w:r>
      <w:r>
        <w:rPr>
          <w:rFonts w:hint="eastAsia" w:eastAsia="仿宋_GB2312"/>
          <w:sz w:val="32"/>
          <w:szCs w:val="32"/>
        </w:rPr>
        <w:t>）中规定，毒死蜱在</w:t>
      </w:r>
      <w:r>
        <w:rPr>
          <w:rFonts w:hint="eastAsia" w:eastAsia="仿宋_GB2312"/>
          <w:sz w:val="32"/>
          <w:szCs w:val="32"/>
          <w:lang w:eastAsia="zh-CN"/>
        </w:rPr>
        <w:t>韭菜</w:t>
      </w:r>
      <w:r>
        <w:rPr>
          <w:rFonts w:hint="eastAsia" w:eastAsia="仿宋_GB2312"/>
          <w:sz w:val="32"/>
          <w:szCs w:val="32"/>
        </w:rPr>
        <w:t>中的最大残留限量为</w:t>
      </w:r>
      <w:r>
        <w:rPr>
          <w:rFonts w:eastAsia="仿宋_GB2312" w:cs="仿宋_GB2312"/>
          <w:sz w:val="32"/>
          <w:szCs w:val="32"/>
        </w:rPr>
        <w:t>0.1mg/kg</w:t>
      </w:r>
      <w:r>
        <w:rPr>
          <w:rFonts w:hint="eastAsia" w:eastAsia="仿宋_GB2312" w:cs="仿宋_GB2312"/>
          <w:sz w:val="32"/>
          <w:szCs w:val="32"/>
        </w:rPr>
        <w:t>。</w:t>
      </w:r>
      <w:r>
        <w:rPr>
          <w:rFonts w:hint="eastAsia" w:eastAsia="仿宋_GB2312"/>
          <w:sz w:val="32"/>
          <w:szCs w:val="32"/>
        </w:rPr>
        <w:t>毒死蜱对鱼类及水生生物毒性较高，在土壤中残留期较长。</w:t>
      </w:r>
      <w:r>
        <w:rPr>
          <w:rFonts w:hint="eastAsia" w:eastAsia="仿宋_GB2312" w:cs="仿宋_GB2312"/>
          <w:sz w:val="32"/>
          <w:szCs w:val="32"/>
        </w:rPr>
        <w:t>长期暴露在含有毒死蜱的环境中，可能会导致神经毒性、生殖毒性，影响胚胎的生长发育。</w:t>
      </w:r>
      <w:r>
        <w:rPr>
          <w:rFonts w:hint="eastAsia" w:eastAsia="仿宋_GB2312"/>
          <w:sz w:val="32"/>
          <w:szCs w:val="32"/>
        </w:rPr>
        <w:t>少量的农药残留不会引起人体急性中毒，但长期食用农药残留超标的食品，对人体健康有一定影响。</w:t>
      </w:r>
    </w:p>
    <w:p>
      <w:pPr>
        <w:spacing w:line="64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/>
          <w:sz w:val="32"/>
          <w:szCs w:val="32"/>
        </w:rPr>
        <w:t>、镉</w:t>
      </w:r>
      <w:r>
        <w:rPr>
          <w:rFonts w:eastAsia="黑体"/>
          <w:sz w:val="32"/>
          <w:szCs w:val="32"/>
        </w:rPr>
        <w:t>（以Cd计）</w:t>
      </w:r>
    </w:p>
    <w:p>
      <w:pPr>
        <w:spacing w:line="6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镉（以</w:t>
      </w:r>
      <w:r>
        <w:rPr>
          <w:rFonts w:eastAsia="仿宋_GB2312"/>
          <w:sz w:val="32"/>
          <w:szCs w:val="32"/>
        </w:rPr>
        <w:t>Cd</w:t>
      </w:r>
      <w:r>
        <w:rPr>
          <w:rFonts w:hint="eastAsia" w:eastAsia="仿宋_GB2312"/>
          <w:sz w:val="32"/>
          <w:szCs w:val="32"/>
        </w:rPr>
        <w:t>计）是最常见的重金属元素污染物之一。《食品安全国家标准食品中污染物限量》（</w:t>
      </w:r>
      <w:r>
        <w:rPr>
          <w:rFonts w:eastAsia="仿宋_GB2312"/>
          <w:sz w:val="32"/>
          <w:szCs w:val="32"/>
        </w:rPr>
        <w:t>GB 2762</w:t>
      </w:r>
      <w:r>
        <w:rPr>
          <w:rFonts w:hint="eastAsia" w:eastAsia="仿宋_GB2312"/>
          <w:sz w:val="32"/>
          <w:szCs w:val="32"/>
        </w:rPr>
        <w:t>—</w:t>
      </w:r>
      <w:r>
        <w:rPr>
          <w:rFonts w:eastAsia="仿宋_GB2312"/>
          <w:sz w:val="32"/>
          <w:szCs w:val="32"/>
        </w:rPr>
        <w:t>2017</w:t>
      </w:r>
      <w:r>
        <w:rPr>
          <w:rFonts w:hint="eastAsia" w:eastAsia="仿宋_GB2312"/>
          <w:sz w:val="32"/>
          <w:szCs w:val="32"/>
        </w:rPr>
        <w:t>）中规定，镉（以</w:t>
      </w:r>
      <w:r>
        <w:rPr>
          <w:rFonts w:eastAsia="仿宋_GB2312"/>
          <w:sz w:val="32"/>
          <w:szCs w:val="32"/>
        </w:rPr>
        <w:t>Cd</w:t>
      </w:r>
      <w:r>
        <w:rPr>
          <w:rFonts w:hint="eastAsia" w:eastAsia="仿宋_GB2312"/>
          <w:sz w:val="32"/>
          <w:szCs w:val="32"/>
        </w:rPr>
        <w:t>计）在鲜、冻水产动物的甲壳类中最大限量为</w:t>
      </w:r>
      <w:r>
        <w:rPr>
          <w:rFonts w:eastAsia="仿宋_GB2312"/>
          <w:sz w:val="32"/>
          <w:szCs w:val="32"/>
        </w:rPr>
        <w:t>0.5mg/kg</w:t>
      </w:r>
      <w:r>
        <w:rPr>
          <w:rFonts w:hint="eastAsia" w:eastAsia="仿宋_GB2312"/>
          <w:sz w:val="32"/>
          <w:szCs w:val="32"/>
        </w:rPr>
        <w:t>。水产品中镉（以</w:t>
      </w:r>
      <w:r>
        <w:rPr>
          <w:rFonts w:eastAsia="仿宋_GB2312"/>
          <w:sz w:val="32"/>
          <w:szCs w:val="32"/>
        </w:rPr>
        <w:t>Cd</w:t>
      </w:r>
      <w:r>
        <w:rPr>
          <w:rFonts w:hint="eastAsia" w:eastAsia="仿宋_GB2312"/>
          <w:sz w:val="32"/>
          <w:szCs w:val="32"/>
        </w:rPr>
        <w:t>计）超标可能是水产品养殖过程中对环境中镉元素的富集。镉对人体的危害主要是慢性蓄积性，长期大量摄入镉含量超标的食品可能导致肾和骨骼损伤等。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eastAsia="zh-CN"/>
        </w:rPr>
        <w:t>五</w:t>
      </w:r>
      <w:r>
        <w:rPr>
          <w:rFonts w:eastAsia="黑体"/>
          <w:sz w:val="32"/>
          <w:szCs w:val="32"/>
        </w:rPr>
        <w:t>、酒精度</w:t>
      </w:r>
    </w:p>
    <w:p>
      <w:pPr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酒精度又叫酒度，是白酒的一个理化指标，是指在20</w:t>
      </w:r>
      <w:r>
        <w:rPr>
          <w:rFonts w:hint="eastAsia" w:ascii="宋体" w:hAnsi="宋体" w:cs="宋体"/>
          <w:kern w:val="0"/>
          <w:sz w:val="32"/>
          <w:szCs w:val="32"/>
        </w:rPr>
        <w:t>℃</w:t>
      </w:r>
      <w:r>
        <w:rPr>
          <w:rFonts w:eastAsia="仿宋_GB2312"/>
          <w:kern w:val="0"/>
          <w:sz w:val="32"/>
          <w:szCs w:val="32"/>
        </w:rPr>
        <w:t>时，100毫升白酒中含有乙醇（酒精）的毫升数，即体积（容量）的百分数。产品明示执行标准《</w:t>
      </w:r>
      <w:r>
        <w:rPr>
          <w:rFonts w:hint="eastAsia" w:eastAsia="仿宋_GB2312"/>
          <w:kern w:val="0"/>
          <w:sz w:val="32"/>
          <w:szCs w:val="32"/>
          <w:lang w:eastAsia="zh-CN"/>
        </w:rPr>
        <w:t>露</w:t>
      </w:r>
      <w:r>
        <w:rPr>
          <w:rFonts w:eastAsia="仿宋_GB2312"/>
          <w:kern w:val="0"/>
          <w:sz w:val="32"/>
          <w:szCs w:val="32"/>
        </w:rPr>
        <w:t>酒》（GB/T 2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7588</w:t>
      </w:r>
      <w:r>
        <w:rPr>
          <w:rFonts w:hint="eastAsia" w:eastAsia="仿宋_GB2312"/>
          <w:sz w:val="32"/>
          <w:szCs w:val="32"/>
        </w:rPr>
        <w:t>—</w:t>
      </w:r>
      <w:r>
        <w:rPr>
          <w:rFonts w:eastAsia="仿宋_GB2312"/>
          <w:kern w:val="0"/>
          <w:sz w:val="32"/>
          <w:szCs w:val="32"/>
        </w:rPr>
        <w:t>2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011</w:t>
      </w:r>
      <w:r>
        <w:rPr>
          <w:rFonts w:eastAsia="仿宋_GB2312"/>
          <w:kern w:val="0"/>
          <w:sz w:val="32"/>
          <w:szCs w:val="32"/>
        </w:rPr>
        <w:t>）中规定，酒精度实测值与标签标示值允许差为±1.0%vol。白酒中酒精度不达标会影响白酒的品质，原因</w:t>
      </w:r>
      <w:r>
        <w:rPr>
          <w:rFonts w:hint="eastAsia" w:eastAsia="仿宋_GB2312"/>
          <w:kern w:val="0"/>
          <w:sz w:val="32"/>
          <w:szCs w:val="32"/>
        </w:rPr>
        <w:t>主要包括</w:t>
      </w:r>
      <w:r>
        <w:rPr>
          <w:rFonts w:eastAsia="仿宋_GB2312"/>
          <w:kern w:val="0"/>
          <w:sz w:val="32"/>
          <w:szCs w:val="32"/>
        </w:rPr>
        <w:t>生产企业检验能力不足，造成检验结果偏差，或是包装不严密造成酒精挥发，导致酒精度降低以致不合格，或是企业为降低成本，用低度酒冒充高度酒。</w:t>
      </w:r>
    </w:p>
    <w:p>
      <w:pPr>
        <w:spacing w:line="560" w:lineRule="exact"/>
        <w:ind w:firstLine="640" w:firstLineChars="200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eastAsia="zh-CN"/>
        </w:rPr>
        <w:t>六</w:t>
      </w:r>
      <w:r>
        <w:rPr>
          <w:rFonts w:hint="eastAsia" w:eastAsia="黑体"/>
          <w:sz w:val="32"/>
          <w:szCs w:val="32"/>
        </w:rPr>
        <w:t>、 4-氯苯氧乙酸钠</w:t>
      </w:r>
    </w:p>
    <w:p>
      <w:pPr>
        <w:spacing w:line="560" w:lineRule="exact"/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 xml:space="preserve"> 4- 氯苯氧乙酸钠又称防落素，是一种多功能植物生长调节剂，可以促进豆芽下胚轴粗大，减少根部萌发，加速细胞分裂。根据国家食品药品监督管理总局、农业部、国家卫生和计划生育委员会2015 年第 11 号公告，目前豆芽生产过程中使用4- 氯苯氧乙酸钠的安全性尚无结论，豆芽生产经营过程中禁止使用 4- 氯苯氧乙酸钠。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2" w:firstLineChars="200"/>
        <w:jc w:val="left"/>
        <w:textAlignment w:val="baseline"/>
        <w:outlineLvl w:val="9"/>
        <w:rPr>
          <w:rFonts w:hint="eastAsia" w:eastAsia="黑体"/>
          <w:spacing w:val="-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B737AE"/>
    <w:rsid w:val="1B8B564F"/>
    <w:rsid w:val="4B3A29F8"/>
    <w:rsid w:val="60AB1E4A"/>
    <w:rsid w:val="64E9586B"/>
    <w:rsid w:val="72CD6A7D"/>
    <w:rsid w:val="740427DF"/>
    <w:rsid w:val="7B2F1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rFonts w:ascii="Times New Roman" w:hAnsi="Times New Roman" w:eastAsia="宋体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巅峰々情</cp:lastModifiedBy>
  <dcterms:modified xsi:type="dcterms:W3CDTF">2020-04-17T02:37:52Z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