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791" w:rsidRDefault="002D72DE">
      <w:pPr>
        <w:spacing w:line="560" w:lineRule="exact"/>
        <w:ind w:firstLineChars="200" w:firstLine="592"/>
        <w:jc w:val="left"/>
        <w:textAlignment w:val="baseline"/>
        <w:rPr>
          <w:rFonts w:eastAsia="黑体"/>
          <w:spacing w:val="-12"/>
          <w:sz w:val="32"/>
          <w:szCs w:val="32"/>
        </w:rPr>
      </w:pPr>
      <w:r>
        <w:rPr>
          <w:rFonts w:eastAsia="黑体" w:hint="eastAsia"/>
          <w:spacing w:val="-12"/>
          <w:sz w:val="32"/>
          <w:szCs w:val="32"/>
        </w:rPr>
        <w:t>附件</w:t>
      </w:r>
      <w:r>
        <w:rPr>
          <w:rFonts w:eastAsia="黑体" w:hint="eastAsia"/>
          <w:spacing w:val="-12"/>
          <w:sz w:val="32"/>
          <w:szCs w:val="32"/>
        </w:rPr>
        <w:t>4</w:t>
      </w:r>
    </w:p>
    <w:p w:rsidR="009B0791" w:rsidRDefault="009B0791">
      <w:pPr>
        <w:spacing w:line="560" w:lineRule="exact"/>
        <w:ind w:firstLineChars="200" w:firstLine="592"/>
        <w:jc w:val="left"/>
        <w:textAlignment w:val="baseline"/>
        <w:rPr>
          <w:rFonts w:eastAsia="黑体"/>
          <w:spacing w:val="-12"/>
          <w:sz w:val="32"/>
          <w:szCs w:val="32"/>
        </w:rPr>
      </w:pPr>
    </w:p>
    <w:p w:rsidR="009B0791" w:rsidRDefault="002D72DE">
      <w:pPr>
        <w:spacing w:line="560" w:lineRule="exact"/>
        <w:ind w:firstLineChars="200" w:firstLine="832"/>
        <w:jc w:val="center"/>
        <w:textAlignment w:val="baseline"/>
        <w:rPr>
          <w:rFonts w:eastAsia="黑体"/>
          <w:spacing w:val="-12"/>
          <w:sz w:val="44"/>
          <w:szCs w:val="44"/>
        </w:rPr>
      </w:pPr>
      <w:r>
        <w:rPr>
          <w:rFonts w:eastAsia="黑体" w:hint="eastAsia"/>
          <w:spacing w:val="-12"/>
          <w:sz w:val="44"/>
          <w:szCs w:val="44"/>
        </w:rPr>
        <w:t>部分检验项目的说明</w:t>
      </w:r>
    </w:p>
    <w:p w:rsidR="009B0791" w:rsidRDefault="009B0791">
      <w:pPr>
        <w:spacing w:line="560" w:lineRule="exact"/>
        <w:ind w:firstLineChars="200" w:firstLine="592"/>
        <w:jc w:val="left"/>
        <w:textAlignment w:val="baseline"/>
        <w:rPr>
          <w:rFonts w:eastAsia="黑体"/>
          <w:spacing w:val="-12"/>
          <w:sz w:val="32"/>
          <w:szCs w:val="32"/>
        </w:rPr>
      </w:pPr>
    </w:p>
    <w:p w:rsidR="009B0791" w:rsidRDefault="002D72DE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一</w:t>
      </w:r>
      <w:r>
        <w:rPr>
          <w:rFonts w:eastAsia="黑体"/>
          <w:sz w:val="32"/>
          <w:szCs w:val="32"/>
        </w:rPr>
        <w:t>、毒死蜱</w:t>
      </w:r>
    </w:p>
    <w:p w:rsidR="009B0791" w:rsidRDefault="002D72D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毒死蜱是一种具有触杀、胃毒和熏蒸作用的有机磷杀虫剂。《食品安全国家标准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食品中农药最大残留限量》（</w:t>
      </w:r>
      <w:r>
        <w:rPr>
          <w:rFonts w:eastAsia="仿宋_GB2312"/>
          <w:sz w:val="32"/>
          <w:szCs w:val="32"/>
        </w:rPr>
        <w:t>GB 2763—2016</w:t>
      </w:r>
      <w:r>
        <w:rPr>
          <w:rFonts w:eastAsia="仿宋_GB2312"/>
          <w:sz w:val="32"/>
          <w:szCs w:val="32"/>
        </w:rPr>
        <w:t>）中规定，芹菜中毒死</w:t>
      </w:r>
      <w:r>
        <w:rPr>
          <w:rFonts w:eastAsia="仿宋_GB2312"/>
          <w:color w:val="000000"/>
          <w:sz w:val="32"/>
          <w:szCs w:val="32"/>
        </w:rPr>
        <w:t>蜱</w:t>
      </w:r>
      <w:r>
        <w:rPr>
          <w:rFonts w:eastAsia="仿宋_GB2312"/>
          <w:sz w:val="32"/>
          <w:szCs w:val="32"/>
        </w:rPr>
        <w:t>残留限量值不得超过</w:t>
      </w:r>
      <w:r>
        <w:rPr>
          <w:rFonts w:eastAsia="仿宋_GB2312"/>
          <w:sz w:val="32"/>
          <w:szCs w:val="32"/>
        </w:rPr>
        <w:t>0.05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mg/kg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菠菜中毒死</w:t>
      </w:r>
      <w:r>
        <w:rPr>
          <w:rFonts w:eastAsia="仿宋_GB2312"/>
          <w:color w:val="000000"/>
          <w:sz w:val="32"/>
          <w:szCs w:val="32"/>
        </w:rPr>
        <w:t>蜱</w:t>
      </w:r>
      <w:r>
        <w:rPr>
          <w:rFonts w:eastAsia="仿宋_GB2312"/>
          <w:sz w:val="32"/>
          <w:szCs w:val="32"/>
        </w:rPr>
        <w:t>残留限量值不得超过</w:t>
      </w:r>
      <w:r>
        <w:rPr>
          <w:rFonts w:eastAsia="仿宋_GB2312"/>
          <w:sz w:val="32"/>
          <w:szCs w:val="32"/>
        </w:rPr>
        <w:t>0.1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mg/kg</w:t>
      </w:r>
      <w:r>
        <w:rPr>
          <w:rFonts w:eastAsia="仿宋_GB2312"/>
          <w:sz w:val="32"/>
          <w:szCs w:val="32"/>
        </w:rPr>
        <w:t>。毒死蜱对鱼类及水生生物毒性较高，在土壤中残留期较长。长期暴露在含有毒死蜱的环境中，可能会</w:t>
      </w:r>
      <w:r>
        <w:rPr>
          <w:rFonts w:eastAsia="仿宋_GB2312" w:hint="eastAsia"/>
          <w:sz w:val="32"/>
          <w:szCs w:val="32"/>
        </w:rPr>
        <w:t>存在</w:t>
      </w:r>
      <w:r>
        <w:rPr>
          <w:rFonts w:eastAsia="仿宋_GB2312"/>
          <w:sz w:val="32"/>
          <w:szCs w:val="32"/>
        </w:rPr>
        <w:t>神经毒性、生殖毒性，并</w:t>
      </w:r>
      <w:r>
        <w:rPr>
          <w:rFonts w:eastAsia="仿宋_GB2312" w:hint="eastAsia"/>
          <w:sz w:val="32"/>
          <w:szCs w:val="32"/>
        </w:rPr>
        <w:t>可能</w:t>
      </w:r>
      <w:r>
        <w:rPr>
          <w:rFonts w:eastAsia="仿宋_GB2312"/>
          <w:sz w:val="32"/>
          <w:szCs w:val="32"/>
        </w:rPr>
        <w:t>会影响胚胎的生长发育。</w:t>
      </w:r>
    </w:p>
    <w:p w:rsidR="009B0791" w:rsidRDefault="002D72DE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>
        <w:rPr>
          <w:rFonts w:ascii="黑体" w:eastAsia="黑体" w:hAnsi="黑体" w:hint="eastAsia"/>
          <w:sz w:val="32"/>
          <w:szCs w:val="32"/>
        </w:rPr>
        <w:t>、氟虫腈</w:t>
      </w:r>
    </w:p>
    <w:p w:rsidR="009B0791" w:rsidRDefault="002D72DE">
      <w:pPr>
        <w:spacing w:line="560" w:lineRule="exact"/>
        <w:ind w:firstLine="645"/>
        <w:rPr>
          <w:rFonts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氟虫腈是一种苯基吡唑类杀虫剂、杀虫谱广，对害虫以胃毒作用为主，兼有触杀和一定的内吸作用。</w:t>
      </w:r>
      <w:r>
        <w:rPr>
          <w:rFonts w:eastAsia="仿宋_GB2312" w:hint="eastAsia"/>
          <w:sz w:val="32"/>
          <w:szCs w:val="32"/>
        </w:rPr>
        <w:t>《食品安全国家标准食品中农药最大残留限量》（</w:t>
      </w:r>
      <w:r>
        <w:rPr>
          <w:rFonts w:eastAsia="仿宋_GB2312"/>
          <w:sz w:val="32"/>
          <w:szCs w:val="32"/>
        </w:rPr>
        <w:t>GB 2763</w:t>
      </w:r>
      <w:r>
        <w:rPr>
          <w:rFonts w:eastAsia="仿宋_GB2312" w:hint="eastAsia"/>
          <w:sz w:val="32"/>
          <w:szCs w:val="32"/>
        </w:rPr>
        <w:t>—</w:t>
      </w:r>
      <w:r>
        <w:rPr>
          <w:rFonts w:eastAsia="仿宋_GB2312"/>
          <w:sz w:val="32"/>
          <w:szCs w:val="32"/>
        </w:rPr>
        <w:t>2016</w:t>
      </w:r>
      <w:r>
        <w:rPr>
          <w:rFonts w:eastAsia="仿宋_GB2312" w:hint="eastAsia"/>
          <w:sz w:val="32"/>
          <w:szCs w:val="32"/>
        </w:rPr>
        <w:t>）中规定，</w:t>
      </w:r>
      <w:r>
        <w:rPr>
          <w:rFonts w:ascii="仿宋_GB2312" w:eastAsia="仿宋_GB2312" w:hint="eastAsia"/>
          <w:sz w:val="32"/>
          <w:szCs w:val="32"/>
        </w:rPr>
        <w:t>氟虫腈在叶菜类蔬菜中的</w:t>
      </w:r>
      <w:r>
        <w:rPr>
          <w:rFonts w:eastAsia="仿宋_GB2312" w:hint="eastAsia"/>
          <w:sz w:val="32"/>
          <w:szCs w:val="32"/>
        </w:rPr>
        <w:t>最大残留限量为</w:t>
      </w:r>
      <w:r>
        <w:rPr>
          <w:rFonts w:eastAsia="仿宋_GB2312"/>
          <w:sz w:val="32"/>
          <w:szCs w:val="32"/>
        </w:rPr>
        <w:t>0.02mg/kg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eastAsia="仿宋_GB2312" w:hint="eastAsia"/>
          <w:sz w:val="32"/>
          <w:szCs w:val="32"/>
        </w:rPr>
        <w:t>少量的农药残留不会引起人体急性中毒，但长期食用农药残留超标的食品，对人体健康有一定影响。</w:t>
      </w:r>
    </w:p>
    <w:p w:rsidR="009B0791" w:rsidRDefault="002D72DE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三</w:t>
      </w:r>
      <w:r>
        <w:rPr>
          <w:rFonts w:eastAsia="黑体"/>
          <w:sz w:val="32"/>
          <w:szCs w:val="32"/>
        </w:rPr>
        <w:t>、地西泮</w:t>
      </w:r>
    </w:p>
    <w:p w:rsidR="009B0791" w:rsidRDefault="002D72D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地西泮又名安定，为镇静剂类药物，主要用于焦虑、镇静催眠，还可用于抗癫痫和抗惊厥。《动物性食品中兽药最高残留限量》（农业部公告第</w:t>
      </w:r>
      <w:r>
        <w:rPr>
          <w:rFonts w:ascii="仿宋_GB2312" w:eastAsia="仿宋_GB2312" w:hint="eastAsia"/>
          <w:sz w:val="32"/>
          <w:szCs w:val="32"/>
        </w:rPr>
        <w:t>235</w:t>
      </w:r>
      <w:r>
        <w:rPr>
          <w:rFonts w:ascii="仿宋_GB2312" w:eastAsia="仿宋_GB2312" w:hint="eastAsia"/>
          <w:sz w:val="32"/>
          <w:szCs w:val="32"/>
        </w:rPr>
        <w:t>号）中规定，地西泮在动物性食品中不得检出。地西</w:t>
      </w:r>
      <w:r>
        <w:rPr>
          <w:rFonts w:ascii="仿宋_GB2312" w:eastAsia="仿宋_GB2312" w:hint="eastAsia"/>
          <w:sz w:val="32"/>
          <w:szCs w:val="32"/>
        </w:rPr>
        <w:t>泮可以降低新鲜活鱼对外界的感</w:t>
      </w:r>
      <w:r>
        <w:rPr>
          <w:rFonts w:ascii="仿宋_GB2312" w:eastAsia="仿宋_GB2312" w:hint="eastAsia"/>
          <w:sz w:val="32"/>
          <w:szCs w:val="32"/>
        </w:rPr>
        <w:lastRenderedPageBreak/>
        <w:t>知能力，降低新陈代谢，保证其经过运输后仍然鲜活，但地西泮在鱼体内残留是永久性的，它可以通过食物链传递给人类。</w:t>
      </w:r>
      <w:r>
        <w:rPr>
          <w:rFonts w:eastAsia="仿宋_GB2312" w:hint="eastAsia"/>
          <w:sz w:val="32"/>
          <w:szCs w:val="32"/>
        </w:rPr>
        <w:t>地西泮超过一定剂量会引起人体嗜睡疲乏、动作失调、精神混乱等，严重者还将出现心律失常、昏迷等症状。</w:t>
      </w:r>
    </w:p>
    <w:p w:rsidR="009B0791" w:rsidRDefault="002D72DE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四</w:t>
      </w:r>
      <w:r>
        <w:rPr>
          <w:rFonts w:eastAsia="黑体"/>
          <w:sz w:val="32"/>
          <w:szCs w:val="32"/>
        </w:rPr>
        <w:t>、土霉素</w:t>
      </w:r>
    </w:p>
    <w:p w:rsidR="009B0791" w:rsidRDefault="002D72DE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土霉素属于四环素类，是由链霉菌产生的一种广谱抗生素，具有促进生长和治疗疾病的作用，被广泛应用于饲料添加剂，是防治患病禽畜的常用药物。</w:t>
      </w:r>
      <w:bookmarkStart w:id="0" w:name="_GoBack"/>
      <w:bookmarkEnd w:id="0"/>
      <w:r>
        <w:rPr>
          <w:rFonts w:eastAsia="仿宋_GB2312"/>
          <w:sz w:val="32"/>
          <w:szCs w:val="32"/>
        </w:rPr>
        <w:t>土霉素在饲料中滥用会使动物组织中土霉素残留超标，直接危害人体健康。</w:t>
      </w:r>
    </w:p>
    <w:sectPr w:rsidR="009B0791" w:rsidSect="009B07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72DE" w:rsidRDefault="002D72DE" w:rsidP="002D72DE">
      <w:r>
        <w:separator/>
      </w:r>
    </w:p>
  </w:endnote>
  <w:endnote w:type="continuationSeparator" w:id="0">
    <w:p w:rsidR="002D72DE" w:rsidRDefault="002D72DE" w:rsidP="002D72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72DE" w:rsidRDefault="002D72DE" w:rsidP="002D72DE">
      <w:r>
        <w:separator/>
      </w:r>
    </w:p>
  </w:footnote>
  <w:footnote w:type="continuationSeparator" w:id="0">
    <w:p w:rsidR="002D72DE" w:rsidRDefault="002D72DE" w:rsidP="002D72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0791"/>
    <w:rsid w:val="002D72DE"/>
    <w:rsid w:val="009B0791"/>
    <w:rsid w:val="17B737AE"/>
    <w:rsid w:val="1B8B564F"/>
    <w:rsid w:val="64E9586B"/>
    <w:rsid w:val="72CD6A7D"/>
    <w:rsid w:val="740427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B079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D72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D72DE"/>
    <w:rPr>
      <w:kern w:val="2"/>
      <w:sz w:val="18"/>
      <w:szCs w:val="18"/>
    </w:rPr>
  </w:style>
  <w:style w:type="paragraph" w:styleId="a4">
    <w:name w:val="footer"/>
    <w:basedOn w:val="a"/>
    <w:link w:val="Char0"/>
    <w:rsid w:val="002D72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D72D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634</Words>
  <Characters>56</Characters>
  <Application>Microsoft Office Word</Application>
  <DocSecurity>0</DocSecurity>
  <Lines>1</Lines>
  <Paragraphs>1</Paragraphs>
  <ScaleCrop>false</ScaleCrop>
  <Company/>
  <LinksUpToDate>false</LinksUpToDate>
  <CharactersWithSpaces>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2014-10-29T12:08:00Z</dcterms:created>
  <dcterms:modified xsi:type="dcterms:W3CDTF">2020-03-17T01:47:00Z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