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2" w:firstLineChars="200"/>
        <w:jc w:val="left"/>
        <w:textAlignment w:val="baseline"/>
        <w:outlineLvl w:val="9"/>
        <w:rPr>
          <w:rFonts w:hint="eastAsia" w:eastAsia="黑体"/>
          <w:spacing w:val="-12"/>
          <w:sz w:val="32"/>
          <w:szCs w:val="32"/>
          <w:lang w:val="en-US" w:eastAsia="zh-CN"/>
        </w:rPr>
      </w:pPr>
      <w:r>
        <w:rPr>
          <w:rFonts w:hint="eastAsia" w:eastAsia="黑体"/>
          <w:spacing w:val="-12"/>
          <w:sz w:val="32"/>
          <w:szCs w:val="32"/>
          <w:lang w:eastAsia="zh-CN"/>
        </w:rPr>
        <w:t>附件</w:t>
      </w:r>
      <w:r>
        <w:rPr>
          <w:rFonts w:hint="eastAsia" w:eastAsia="黑体"/>
          <w:spacing w:val="-12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2" w:firstLineChars="200"/>
        <w:jc w:val="left"/>
        <w:textAlignment w:val="baseline"/>
        <w:outlineLvl w:val="9"/>
        <w:rPr>
          <w:rFonts w:hint="eastAsia" w:eastAsia="黑体"/>
          <w:spacing w:val="-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32" w:firstLineChars="200"/>
        <w:jc w:val="center"/>
        <w:textAlignment w:val="baseline"/>
        <w:outlineLvl w:val="9"/>
        <w:rPr>
          <w:rFonts w:hint="eastAsia" w:eastAsia="黑体"/>
          <w:spacing w:val="-12"/>
          <w:sz w:val="44"/>
          <w:szCs w:val="44"/>
          <w:lang w:val="en-US" w:eastAsia="zh-CN"/>
        </w:rPr>
      </w:pPr>
      <w:r>
        <w:rPr>
          <w:rFonts w:hint="eastAsia" w:eastAsia="黑体"/>
          <w:spacing w:val="-12"/>
          <w:sz w:val="44"/>
          <w:szCs w:val="44"/>
          <w:lang w:val="en-US" w:eastAsia="zh-CN"/>
        </w:rPr>
        <w:t>部分检验项目的说明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2" w:firstLineChars="200"/>
        <w:jc w:val="left"/>
        <w:textAlignment w:val="baseline"/>
        <w:outlineLvl w:val="9"/>
        <w:rPr>
          <w:rFonts w:hint="eastAsia" w:eastAsia="黑体"/>
          <w:spacing w:val="-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2" w:firstLineChars="200"/>
        <w:jc w:val="left"/>
        <w:textAlignment w:val="baseline"/>
        <w:outlineLvl w:val="9"/>
        <w:rPr>
          <w:rFonts w:eastAsia="黑体"/>
          <w:kern w:val="0"/>
          <w:sz w:val="32"/>
          <w:szCs w:val="32"/>
        </w:rPr>
      </w:pPr>
      <w:r>
        <w:rPr>
          <w:rFonts w:hint="eastAsia" w:eastAsia="黑体"/>
          <w:spacing w:val="-12"/>
          <w:sz w:val="32"/>
          <w:szCs w:val="32"/>
          <w:lang w:eastAsia="zh-CN"/>
        </w:rPr>
        <w:t>一</w:t>
      </w:r>
      <w:r>
        <w:rPr>
          <w:rFonts w:eastAsia="黑体"/>
          <w:spacing w:val="-12"/>
          <w:sz w:val="32"/>
          <w:szCs w:val="32"/>
        </w:rPr>
        <w:t>、</w:t>
      </w:r>
      <w:r>
        <w:rPr>
          <w:rFonts w:eastAsia="黑体"/>
          <w:kern w:val="0"/>
          <w:sz w:val="32"/>
          <w:szCs w:val="32"/>
        </w:rPr>
        <w:t>大肠菌群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outlineLvl w:val="9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大肠菌群是国内外通用的食品污染常用指示菌之一。食品中检出大肠菌群，提示被致病菌（如沙门氏菌、志贺氏菌、致病性大肠杆菌）污染的可能性较大。产品明示企业标准</w:t>
      </w:r>
      <w:r>
        <w:rPr>
          <w:rFonts w:hint="eastAsia" w:ascii="仿宋_GB2312" w:eastAsia="仿宋_GB2312"/>
          <w:sz w:val="32"/>
          <w:szCs w:val="32"/>
        </w:rPr>
        <w:t>《</w:t>
      </w:r>
      <w:r>
        <w:rPr>
          <w:rFonts w:hint="eastAsia" w:ascii="仿宋_GB2312" w:eastAsia="仿宋_GB2312"/>
          <w:color w:val="000000"/>
          <w:sz w:val="32"/>
          <w:szCs w:val="32"/>
        </w:rPr>
        <w:t>糊</w:t>
      </w:r>
      <w:r>
        <w:rPr>
          <w:rFonts w:hint="eastAsia" w:ascii="仿宋_GB2312" w:eastAsia="仿宋_GB2312"/>
          <w:sz w:val="32"/>
          <w:szCs w:val="32"/>
        </w:rPr>
        <w:t>类制品》（</w:t>
      </w:r>
      <w:r>
        <w:rPr>
          <w:rFonts w:eastAsia="仿宋_GB2312"/>
          <w:sz w:val="32"/>
          <w:szCs w:val="32"/>
        </w:rPr>
        <w:t>Q/GLGF0003S</w:t>
      </w:r>
      <w:r>
        <w:rPr>
          <w:rFonts w:hint="eastAsia" w:eastAsia="仿宋_GB2312"/>
          <w:sz w:val="32"/>
          <w:szCs w:val="32"/>
        </w:rPr>
        <w:t>—</w:t>
      </w:r>
      <w:r>
        <w:rPr>
          <w:rFonts w:eastAsia="仿宋_GB2312"/>
          <w:sz w:val="32"/>
          <w:szCs w:val="32"/>
        </w:rPr>
        <w:t>2017</w:t>
      </w:r>
      <w:r>
        <w:rPr>
          <w:rFonts w:hint="eastAsia" w:ascii="仿宋_GB2312" w:eastAsia="仿宋_GB2312"/>
          <w:sz w:val="32"/>
          <w:szCs w:val="32"/>
        </w:rPr>
        <w:t>）以及《果蔬燕麦》（</w:t>
      </w:r>
      <w:r>
        <w:rPr>
          <w:rFonts w:eastAsia="仿宋_GB2312"/>
          <w:sz w:val="32"/>
          <w:szCs w:val="32"/>
        </w:rPr>
        <w:t>Q/GXYF0006S</w:t>
      </w:r>
      <w:r>
        <w:rPr>
          <w:rFonts w:hint="eastAsia" w:eastAsia="仿宋_GB2312"/>
          <w:sz w:val="32"/>
          <w:szCs w:val="32"/>
        </w:rPr>
        <w:t>—</w:t>
      </w:r>
      <w:r>
        <w:rPr>
          <w:rFonts w:eastAsia="仿宋_GB2312"/>
          <w:sz w:val="32"/>
          <w:szCs w:val="32"/>
        </w:rPr>
        <w:t>2017</w:t>
      </w:r>
      <w:r>
        <w:rPr>
          <w:rFonts w:hint="eastAsia" w:ascii="仿宋_GB2312" w:eastAsia="仿宋_GB2312"/>
          <w:sz w:val="32"/>
          <w:szCs w:val="32"/>
        </w:rPr>
        <w:t>）中规定，</w:t>
      </w:r>
      <w:r>
        <w:rPr>
          <w:rFonts w:eastAsia="仿宋_GB2312"/>
          <w:sz w:val="32"/>
          <w:szCs w:val="32"/>
        </w:rPr>
        <w:t>一个</w:t>
      </w:r>
      <w:r>
        <w:rPr>
          <w:rFonts w:hint="eastAsia" w:ascii="仿宋_GB2312" w:eastAsia="仿宋_GB2312"/>
          <w:color w:val="000000"/>
          <w:sz w:val="32"/>
          <w:szCs w:val="32"/>
        </w:rPr>
        <w:t>糊</w:t>
      </w:r>
      <w:r>
        <w:rPr>
          <w:rFonts w:hint="eastAsia" w:ascii="仿宋_GB2312" w:eastAsia="仿宋_GB2312"/>
          <w:sz w:val="32"/>
          <w:szCs w:val="32"/>
        </w:rPr>
        <w:t>类制品或果蔬燕麦</w:t>
      </w:r>
      <w:r>
        <w:rPr>
          <w:rFonts w:eastAsia="仿宋_GB2312"/>
          <w:sz w:val="32"/>
          <w:szCs w:val="32"/>
        </w:rPr>
        <w:t>样品的大肠菌群5次</w:t>
      </w:r>
      <w:r>
        <w:rPr>
          <w:rFonts w:hint="eastAsia" w:eastAsia="仿宋_GB2312"/>
          <w:sz w:val="32"/>
          <w:szCs w:val="32"/>
        </w:rPr>
        <w:t>检测</w:t>
      </w:r>
      <w:r>
        <w:rPr>
          <w:rFonts w:eastAsia="仿宋_GB2312"/>
          <w:sz w:val="32"/>
          <w:szCs w:val="32"/>
        </w:rPr>
        <w:t>结果均不得超过100CFU/g且至少</w:t>
      </w:r>
      <w:r>
        <w:rPr>
          <w:rFonts w:hint="eastAsia" w:eastAsia="仿宋_GB2312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次检验结果不得超过10CFU/g。《食品安全国家标准 坚果与</w:t>
      </w:r>
      <w:r>
        <w:rPr>
          <w:rFonts w:eastAsia="仿宋_GB2312"/>
          <w:color w:val="000000"/>
          <w:sz w:val="32"/>
          <w:szCs w:val="32"/>
        </w:rPr>
        <w:t>籽</w:t>
      </w:r>
      <w:r>
        <w:rPr>
          <w:rFonts w:eastAsia="仿宋_GB2312"/>
          <w:sz w:val="32"/>
          <w:szCs w:val="32"/>
        </w:rPr>
        <w:t>类食品》（GB 19300</w:t>
      </w:r>
      <w:r>
        <w:rPr>
          <w:rFonts w:hint="eastAsia" w:eastAsia="仿宋_GB2312"/>
          <w:sz w:val="32"/>
          <w:szCs w:val="32"/>
        </w:rPr>
        <w:t>—</w:t>
      </w:r>
      <w:r>
        <w:rPr>
          <w:rFonts w:eastAsia="仿宋_GB2312"/>
          <w:sz w:val="32"/>
          <w:szCs w:val="32"/>
        </w:rPr>
        <w:t>2014）</w:t>
      </w:r>
      <w:r>
        <w:rPr>
          <w:rFonts w:hint="eastAsia" w:eastAsia="仿宋_GB2312"/>
          <w:sz w:val="32"/>
          <w:szCs w:val="32"/>
        </w:rPr>
        <w:t>中</w:t>
      </w:r>
      <w:r>
        <w:rPr>
          <w:rFonts w:eastAsia="仿宋_GB2312"/>
          <w:sz w:val="32"/>
          <w:szCs w:val="32"/>
        </w:rPr>
        <w:t>规定，</w:t>
      </w:r>
      <w:r>
        <w:rPr>
          <w:rFonts w:hint="eastAsia" w:eastAsia="仿宋_GB2312"/>
          <w:sz w:val="32"/>
          <w:szCs w:val="32"/>
        </w:rPr>
        <w:t>一个</w:t>
      </w:r>
      <w:r>
        <w:rPr>
          <w:rFonts w:eastAsia="仿宋_GB2312"/>
          <w:sz w:val="32"/>
          <w:szCs w:val="32"/>
        </w:rPr>
        <w:t>熟制坚果与</w:t>
      </w:r>
      <w:r>
        <w:rPr>
          <w:rFonts w:eastAsia="仿宋_GB2312"/>
          <w:color w:val="000000"/>
          <w:sz w:val="32"/>
          <w:szCs w:val="32"/>
        </w:rPr>
        <w:t>籽</w:t>
      </w:r>
      <w:r>
        <w:rPr>
          <w:rFonts w:eastAsia="仿宋_GB2312"/>
          <w:sz w:val="32"/>
          <w:szCs w:val="32"/>
        </w:rPr>
        <w:t>类食品及直接食用的生</w:t>
      </w:r>
      <w:r>
        <w:rPr>
          <w:rFonts w:eastAsia="仿宋_GB2312"/>
          <w:color w:val="000000"/>
          <w:sz w:val="32"/>
          <w:szCs w:val="32"/>
        </w:rPr>
        <w:t>干</w:t>
      </w:r>
      <w:r>
        <w:rPr>
          <w:rFonts w:eastAsia="仿宋_GB2312"/>
          <w:sz w:val="32"/>
          <w:szCs w:val="32"/>
        </w:rPr>
        <w:t>坚果与</w:t>
      </w:r>
      <w:r>
        <w:rPr>
          <w:rFonts w:eastAsia="仿宋_GB2312"/>
          <w:color w:val="000000"/>
          <w:sz w:val="32"/>
          <w:szCs w:val="32"/>
        </w:rPr>
        <w:t>籽</w:t>
      </w:r>
      <w:r>
        <w:rPr>
          <w:rFonts w:eastAsia="仿宋_GB2312"/>
          <w:sz w:val="32"/>
          <w:szCs w:val="32"/>
        </w:rPr>
        <w:t>类食品样品</w:t>
      </w:r>
      <w:r>
        <w:rPr>
          <w:rFonts w:hint="eastAsia" w:eastAsia="仿宋_GB2312"/>
          <w:sz w:val="32"/>
          <w:szCs w:val="32"/>
        </w:rPr>
        <w:t>的</w:t>
      </w:r>
      <w:r>
        <w:rPr>
          <w:rFonts w:eastAsia="仿宋_GB2312"/>
          <w:sz w:val="32"/>
          <w:szCs w:val="32"/>
        </w:rPr>
        <w:t>大肠菌群5次检测结果均不得超过100 CFU/g且至少3次检测结果不超过10 CFU/g。大肠菌群超标可能由于产品的加工原料、包装材料受污染，或在生产过程中产品受人员、工器具等生产设备、环境的污染、有灭菌工艺的产品灭菌不彻底而导致。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、铜绿假单胞菌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outlineLvl w:val="9"/>
        <w:rPr>
          <w:rFonts w:hint="eastAsia" w:ascii="仿宋_GB2312" w:hAnsi="ˎ̥" w:eastAsia="仿宋_GB2312" w:cs="Arial"/>
          <w:sz w:val="32"/>
          <w:szCs w:val="32"/>
        </w:rPr>
      </w:pPr>
      <w:r>
        <w:rPr>
          <w:rFonts w:hint="eastAsia" w:ascii="仿宋_GB2312" w:hAnsi="ˎ̥" w:eastAsia="仿宋_GB2312" w:cs="Arial"/>
          <w:sz w:val="32"/>
          <w:szCs w:val="32"/>
        </w:rPr>
        <w:t>铜绿假单胞菌是一种条件致病菌, 广泛分布于各种水、空气、正常人的皮肤、呼吸道和肠道等，易在潮湿的环境存活，对消毒剂、紫外线等具有较强的抵抗力，对于抵抗力较弱的人群存在健康风险。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outlineLvl w:val="9"/>
        <w:rPr>
          <w:rFonts w:hint="eastAsia" w:ascii="仿宋_GB2312" w:hAnsi="ˎ̥" w:eastAsia="仿宋_GB2312" w:cs="Arial"/>
          <w:sz w:val="32"/>
          <w:szCs w:val="32"/>
        </w:rPr>
      </w:pPr>
      <w:r>
        <w:rPr>
          <w:rFonts w:hint="eastAsia" w:ascii="仿宋_GB2312" w:hAnsi="ˎ̥" w:eastAsia="仿宋_GB2312" w:cs="Arial"/>
          <w:sz w:val="32"/>
          <w:szCs w:val="32"/>
        </w:rPr>
        <w:t>铜绿假单胞菌超标可能是源水防护不当，水体受到污染；生产过程中卫生控制不严格，如从业人员未经消毒的手直接与水或容器内壁接触；或者是包装材料清洗消毒有缺陷所致。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outlineLvl w:val="9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eastAsia="zh-CN"/>
        </w:rPr>
        <w:t>三</w:t>
      </w:r>
      <w:r>
        <w:rPr>
          <w:rFonts w:eastAsia="黑体"/>
          <w:sz w:val="32"/>
          <w:szCs w:val="32"/>
        </w:rPr>
        <w:t>、毒死蜱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outlineLvl w:val="9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毒死蜱是一种具有触杀、胃毒和熏蒸作用的有机磷杀虫剂。《食品安全国家标准 食品中农药最大残留限量》（GB 2763—2016）中规定，芹菜中毒死</w:t>
      </w:r>
      <w:r>
        <w:rPr>
          <w:rFonts w:eastAsia="仿宋_GB2312"/>
          <w:color w:val="000000"/>
          <w:sz w:val="32"/>
          <w:szCs w:val="32"/>
        </w:rPr>
        <w:t>蜱</w:t>
      </w:r>
      <w:r>
        <w:rPr>
          <w:rFonts w:eastAsia="仿宋_GB2312"/>
          <w:sz w:val="32"/>
          <w:szCs w:val="32"/>
        </w:rPr>
        <w:t>残留限量值不得超过0.05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mg/kg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菠菜中毒死</w:t>
      </w:r>
      <w:r>
        <w:rPr>
          <w:rFonts w:eastAsia="仿宋_GB2312"/>
          <w:color w:val="000000"/>
          <w:sz w:val="32"/>
          <w:szCs w:val="32"/>
        </w:rPr>
        <w:t>蜱</w:t>
      </w:r>
      <w:r>
        <w:rPr>
          <w:rFonts w:eastAsia="仿宋_GB2312"/>
          <w:sz w:val="32"/>
          <w:szCs w:val="32"/>
        </w:rPr>
        <w:t>残留限量值不得超过0.1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mg/kg。毒死蜱对鱼类及水生生物毒性较高，在土壤中残留期较长。长期暴露在含有毒死蜱的环境中，可能会</w:t>
      </w:r>
      <w:r>
        <w:rPr>
          <w:rFonts w:hint="eastAsia" w:eastAsia="仿宋_GB2312"/>
          <w:sz w:val="32"/>
          <w:szCs w:val="32"/>
        </w:rPr>
        <w:t>存在</w:t>
      </w:r>
      <w:r>
        <w:rPr>
          <w:rFonts w:eastAsia="仿宋_GB2312"/>
          <w:sz w:val="32"/>
          <w:szCs w:val="32"/>
        </w:rPr>
        <w:t>神经毒性、生殖毒性，并</w:t>
      </w:r>
      <w:r>
        <w:rPr>
          <w:rFonts w:hint="eastAsia" w:eastAsia="仿宋_GB2312"/>
          <w:sz w:val="32"/>
          <w:szCs w:val="32"/>
        </w:rPr>
        <w:t>可能</w:t>
      </w:r>
      <w:r>
        <w:rPr>
          <w:rFonts w:eastAsia="仿宋_GB2312"/>
          <w:sz w:val="32"/>
          <w:szCs w:val="32"/>
        </w:rPr>
        <w:t>会影响胚胎的生长发育。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outlineLvl w:val="9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/>
          <w:sz w:val="32"/>
          <w:szCs w:val="32"/>
        </w:rPr>
        <w:t>、氟虫腈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outlineLvl w:val="9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氟虫腈是一种苯基吡唑类杀虫剂、杀虫谱广，对害虫以胃毒作用为主，兼有触杀和一定的内吸作用。</w:t>
      </w:r>
      <w:r>
        <w:rPr>
          <w:rFonts w:hint="eastAsia" w:eastAsia="仿宋_GB2312"/>
          <w:sz w:val="32"/>
          <w:szCs w:val="32"/>
        </w:rPr>
        <w:t>《食品安全国家标准食品中农药最大残留限量》（</w:t>
      </w:r>
      <w:r>
        <w:rPr>
          <w:rFonts w:eastAsia="仿宋_GB2312"/>
          <w:sz w:val="32"/>
          <w:szCs w:val="32"/>
        </w:rPr>
        <w:t>GB 2763</w:t>
      </w:r>
      <w:r>
        <w:rPr>
          <w:rFonts w:hint="eastAsia" w:eastAsia="仿宋_GB2312"/>
          <w:sz w:val="32"/>
          <w:szCs w:val="32"/>
        </w:rPr>
        <w:t>—</w:t>
      </w:r>
      <w:r>
        <w:rPr>
          <w:rFonts w:eastAsia="仿宋_GB2312"/>
          <w:sz w:val="32"/>
          <w:szCs w:val="32"/>
        </w:rPr>
        <w:t>2016</w:t>
      </w:r>
      <w:r>
        <w:rPr>
          <w:rFonts w:hint="eastAsia" w:eastAsia="仿宋_GB2312"/>
          <w:sz w:val="32"/>
          <w:szCs w:val="32"/>
        </w:rPr>
        <w:t>）中规定，</w:t>
      </w:r>
      <w:r>
        <w:rPr>
          <w:rFonts w:hint="eastAsia" w:ascii="仿宋_GB2312" w:eastAsia="仿宋_GB2312"/>
          <w:sz w:val="32"/>
          <w:szCs w:val="32"/>
        </w:rPr>
        <w:t>氟虫腈在叶菜类蔬菜中的</w:t>
      </w:r>
      <w:r>
        <w:rPr>
          <w:rFonts w:hint="eastAsia" w:eastAsia="仿宋_GB2312"/>
          <w:sz w:val="32"/>
          <w:szCs w:val="32"/>
        </w:rPr>
        <w:t>最大残留限量为</w:t>
      </w:r>
      <w:r>
        <w:rPr>
          <w:rFonts w:eastAsia="仿宋_GB2312"/>
          <w:sz w:val="32"/>
          <w:szCs w:val="32"/>
        </w:rPr>
        <w:t>0.02mg/kg</w:t>
      </w:r>
      <w:r>
        <w:rPr>
          <w:rFonts w:hint="eastAsia" w:ascii="仿宋_GB2312" w:eastAsia="仿宋_GB2312"/>
          <w:sz w:val="32"/>
          <w:szCs w:val="32"/>
        </w:rPr>
        <w:t>。</w:t>
      </w:r>
      <w:r>
        <w:rPr>
          <w:rFonts w:hint="eastAsia" w:eastAsia="仿宋_GB2312"/>
          <w:sz w:val="32"/>
          <w:szCs w:val="32"/>
        </w:rPr>
        <w:t>少量的农药残留不会引起人体急性中毒，但长期食用农药残留超标的食品，对人体健康有一定影响。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outlineLvl w:val="9"/>
        <w:rPr>
          <w:rFonts w:ascii="Times New Roman" w:hAnsi="Times New Roman"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eastAsia="zh-CN"/>
        </w:rPr>
        <w:t>五</w:t>
      </w:r>
      <w:r>
        <w:rPr>
          <w:rFonts w:ascii="Times New Roman" w:hAnsi="Times New Roman" w:eastAsia="黑体"/>
          <w:sz w:val="32"/>
          <w:szCs w:val="32"/>
        </w:rPr>
        <w:t>、地西泮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地西泮又名安定，为镇静剂类药物，主要用于焦虑、镇静催眠，还可用于抗癫痫和抗惊厥。《动物性食品中兽药最高残留限量》（农业部公告第235号）中规定，地西泮在动物性食品中不得检出。地西泮可以降低新鲜活鱼对外界的感知能力，降低新陈代谢，保证其经过运输后仍然鲜活，但地西泮在鱼体内残留是永久性的，它可以通过食物链传递给人类。</w:t>
      </w:r>
      <w:r>
        <w:rPr>
          <w:rFonts w:hint="eastAsia" w:ascii="Times New Roman" w:hAnsi="Times New Roman" w:eastAsia="仿宋_GB2312"/>
          <w:sz w:val="32"/>
          <w:szCs w:val="32"/>
        </w:rPr>
        <w:t>地西泮超过一定剂量会引起人体嗜睡疲乏、动作失调、精神混乱等，严重者还将出现心律失常、昏迷等症状。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ascii="Times New Roman" w:hAnsi="Times New Roman"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eastAsia="zh-CN"/>
        </w:rPr>
        <w:t>六</w:t>
      </w:r>
      <w:r>
        <w:rPr>
          <w:rFonts w:ascii="Times New Roman" w:hAnsi="Times New Roman" w:eastAsia="黑体"/>
          <w:sz w:val="32"/>
          <w:szCs w:val="32"/>
        </w:rPr>
        <w:t>、土霉素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土霉素属于四环素类，是由链霉菌产生的一种广谱抗生素，具有促进生长和治疗疾病的作用，被广泛应用于饲料添加剂，是防治患病禽畜的常用药物。</w:t>
      </w:r>
      <w:bookmarkStart w:id="0" w:name="_GoBack"/>
      <w:bookmarkEnd w:id="0"/>
      <w:r>
        <w:rPr>
          <w:rFonts w:ascii="Times New Roman" w:hAnsi="Times New Roman" w:eastAsia="仿宋_GB2312"/>
          <w:sz w:val="32"/>
          <w:szCs w:val="32"/>
        </w:rPr>
        <w:t>土霉素在饲料中滥用会使动物组织中土霉素残留超标，直接危害人体健康。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B737AE"/>
    <w:rsid w:val="1B8B564F"/>
    <w:rsid w:val="64E9586B"/>
    <w:rsid w:val="72CD6A7D"/>
    <w:rsid w:val="74042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韩绍雄</cp:lastModifiedBy>
  <dcterms:modified xsi:type="dcterms:W3CDTF">2020-03-12T09:51:51Z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